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68" w:type="dxa"/>
        <w:jc w:val="center"/>
        <w:shd w:val="clear" w:color="auto" w:fill="FFFFFF"/>
        <w:tblCellMar>
          <w:left w:w="0" w:type="dxa"/>
          <w:right w:w="0" w:type="dxa"/>
        </w:tblCellMar>
        <w:tblLook w:val="04A0" w:firstRow="1" w:lastRow="0" w:firstColumn="1" w:lastColumn="0" w:noHBand="0" w:noVBand="1"/>
      </w:tblPr>
      <w:tblGrid>
        <w:gridCol w:w="290"/>
        <w:gridCol w:w="8888"/>
        <w:gridCol w:w="290"/>
      </w:tblGrid>
      <w:tr w:rsidR="001424E5" w:rsidTr="001424E5">
        <w:trPr>
          <w:jc w:val="center"/>
        </w:trPr>
        <w:tc>
          <w:tcPr>
            <w:tcW w:w="290" w:type="dxa"/>
            <w:tcBorders>
              <w:top w:val="single" w:sz="12" w:space="0" w:color="FF6600"/>
              <w:left w:val="single" w:sz="12" w:space="0" w:color="FF6600"/>
              <w:bottom w:val="single" w:sz="12" w:space="0" w:color="FF6600"/>
              <w:right w:val="single" w:sz="12" w:space="0" w:color="FF6600"/>
            </w:tcBorders>
            <w:shd w:val="clear" w:color="auto" w:fill="FFFFFF"/>
            <w:tcMar>
              <w:top w:w="0" w:type="dxa"/>
              <w:left w:w="108" w:type="dxa"/>
              <w:bottom w:w="0" w:type="dxa"/>
              <w:right w:w="108" w:type="dxa"/>
            </w:tcMar>
          </w:tcPr>
          <w:p w:rsidR="001424E5" w:rsidRDefault="001424E5">
            <w:pPr>
              <w:pStyle w:val="NoSpacing"/>
              <w:jc w:val="center"/>
              <w:rPr>
                <w:b/>
                <w:bCs/>
                <w:color w:val="1F497D"/>
                <w:sz w:val="28"/>
                <w:szCs w:val="28"/>
              </w:rPr>
            </w:pPr>
          </w:p>
        </w:tc>
        <w:tc>
          <w:tcPr>
            <w:tcW w:w="8888" w:type="dxa"/>
            <w:tcBorders>
              <w:top w:val="single" w:sz="12" w:space="0" w:color="FF6600"/>
              <w:left w:val="nil"/>
              <w:bottom w:val="single" w:sz="12" w:space="0" w:color="FF6600"/>
              <w:right w:val="single" w:sz="12" w:space="0" w:color="FF6600"/>
            </w:tcBorders>
            <w:shd w:val="clear" w:color="auto" w:fill="FFFFFF"/>
            <w:tcMar>
              <w:top w:w="0" w:type="dxa"/>
              <w:left w:w="108" w:type="dxa"/>
              <w:bottom w:w="0" w:type="dxa"/>
              <w:right w:w="108" w:type="dxa"/>
            </w:tcMar>
          </w:tcPr>
          <w:p w:rsidR="001424E5" w:rsidRDefault="001424E5">
            <w:pPr>
              <w:pStyle w:val="NoSpacing"/>
              <w:rPr>
                <w:color w:val="1F497D"/>
              </w:rPr>
            </w:pPr>
            <w:r>
              <w:rPr>
                <w:noProof/>
              </w:rPr>
              <w:drawing>
                <wp:anchor distT="0" distB="0" distL="114300" distR="114300" simplePos="0" relativeHeight="251656704" behindDoc="0" locked="0" layoutInCell="1" allowOverlap="1">
                  <wp:simplePos x="0" y="0"/>
                  <wp:positionH relativeFrom="margin">
                    <wp:align>right</wp:align>
                  </wp:positionH>
                  <wp:positionV relativeFrom="margin">
                    <wp:align>top</wp:align>
                  </wp:positionV>
                  <wp:extent cx="1819275" cy="927100"/>
                  <wp:effectExtent l="0" t="0" r="9525" b="635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19275" cy="927100"/>
                          </a:xfrm>
                          <a:prstGeom prst="rect">
                            <a:avLst/>
                          </a:prstGeom>
                          <a:noFill/>
                        </pic:spPr>
                      </pic:pic>
                    </a:graphicData>
                  </a:graphic>
                  <wp14:sizeRelH relativeFrom="page">
                    <wp14:pctWidth>0</wp14:pctWidth>
                  </wp14:sizeRelH>
                  <wp14:sizeRelV relativeFrom="page">
                    <wp14:pctHeight>0</wp14:pctHeight>
                  </wp14:sizeRelV>
                </wp:anchor>
              </w:drawing>
            </w:r>
            <w:r>
              <w:rPr>
                <w:color w:val="1F497D"/>
              </w:rPr>
              <w:t>                                           </w:t>
            </w:r>
          </w:p>
          <w:p w:rsidR="001424E5" w:rsidRDefault="001424E5">
            <w:pPr>
              <w:pStyle w:val="NoSpacing"/>
              <w:rPr>
                <w:color w:val="1F497D"/>
              </w:rPr>
            </w:pPr>
            <w:r>
              <w:rPr>
                <w:noProof/>
              </w:rPr>
              <w:drawing>
                <wp:anchor distT="0" distB="0" distL="114300" distR="114300" simplePos="0" relativeHeight="251657728" behindDoc="0" locked="0" layoutInCell="1" allowOverlap="1">
                  <wp:simplePos x="0" y="0"/>
                  <wp:positionH relativeFrom="column">
                    <wp:posOffset>85725</wp:posOffset>
                  </wp:positionH>
                  <wp:positionV relativeFrom="paragraph">
                    <wp:posOffset>48895</wp:posOffset>
                  </wp:positionV>
                  <wp:extent cx="1828800" cy="523875"/>
                  <wp:effectExtent l="0" t="0" r="0" b="9525"/>
                  <wp:wrapNone/>
                  <wp:docPr id="2" name="Picture 2" descr="Description: New NHC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escription: New NHCLog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28800" cy="523875"/>
                          </a:xfrm>
                          <a:prstGeom prst="rect">
                            <a:avLst/>
                          </a:prstGeom>
                          <a:noFill/>
                        </pic:spPr>
                      </pic:pic>
                    </a:graphicData>
                  </a:graphic>
                  <wp14:sizeRelH relativeFrom="page">
                    <wp14:pctWidth>0</wp14:pctWidth>
                  </wp14:sizeRelH>
                  <wp14:sizeRelV relativeFrom="page">
                    <wp14:pctHeight>0</wp14:pctHeight>
                  </wp14:sizeRelV>
                </wp:anchor>
              </w:drawing>
            </w:r>
          </w:p>
          <w:p w:rsidR="001424E5" w:rsidRDefault="001424E5">
            <w:pPr>
              <w:pStyle w:val="NoSpacing"/>
              <w:rPr>
                <w:color w:val="1F497D"/>
              </w:rPr>
            </w:pPr>
          </w:p>
          <w:p w:rsidR="001424E5" w:rsidRDefault="001424E5">
            <w:pPr>
              <w:pStyle w:val="NoSpacing"/>
              <w:rPr>
                <w:b/>
                <w:bCs/>
                <w:sz w:val="48"/>
                <w:szCs w:val="48"/>
              </w:rPr>
            </w:pPr>
          </w:p>
          <w:p w:rsidR="001424E5" w:rsidRDefault="001424E5">
            <w:pPr>
              <w:pStyle w:val="NoSpacing"/>
              <w:rPr>
                <w:b/>
                <w:bCs/>
                <w:sz w:val="48"/>
                <w:szCs w:val="48"/>
              </w:rPr>
            </w:pPr>
          </w:p>
          <w:p w:rsidR="001424E5" w:rsidRDefault="001424E5">
            <w:pPr>
              <w:pStyle w:val="NoSpacing"/>
              <w:jc w:val="center"/>
              <w:rPr>
                <w:b/>
                <w:bCs/>
                <w:sz w:val="48"/>
                <w:szCs w:val="48"/>
              </w:rPr>
            </w:pPr>
            <w:r>
              <w:rPr>
                <w:b/>
                <w:bCs/>
                <w:sz w:val="48"/>
                <w:szCs w:val="48"/>
              </w:rPr>
              <w:t>1</w:t>
            </w:r>
            <w:r>
              <w:rPr>
                <w:b/>
                <w:bCs/>
                <w:sz w:val="48"/>
                <w:szCs w:val="48"/>
                <w:vertAlign w:val="superscript"/>
              </w:rPr>
              <w:t>st</w:t>
            </w:r>
            <w:r>
              <w:rPr>
                <w:b/>
                <w:bCs/>
                <w:sz w:val="48"/>
                <w:szCs w:val="48"/>
              </w:rPr>
              <w:t xml:space="preserve"> Annual Tenant Panel conference</w:t>
            </w:r>
          </w:p>
          <w:p w:rsidR="001424E5" w:rsidRDefault="001424E5">
            <w:pPr>
              <w:pStyle w:val="NoSpacing"/>
              <w:jc w:val="center"/>
              <w:rPr>
                <w:b/>
                <w:bCs/>
                <w:sz w:val="48"/>
                <w:szCs w:val="48"/>
              </w:rPr>
            </w:pPr>
            <w:r>
              <w:rPr>
                <w:b/>
                <w:bCs/>
                <w:sz w:val="48"/>
                <w:szCs w:val="48"/>
              </w:rPr>
              <w:t>A new age of accountability</w:t>
            </w:r>
          </w:p>
          <w:p w:rsidR="001424E5" w:rsidRDefault="001424E5">
            <w:pPr>
              <w:pStyle w:val="NoSpacing"/>
              <w:jc w:val="center"/>
              <w:rPr>
                <w:b/>
                <w:bCs/>
                <w:sz w:val="28"/>
                <w:szCs w:val="28"/>
              </w:rPr>
            </w:pPr>
            <w:r>
              <w:rPr>
                <w:b/>
                <w:bCs/>
                <w:sz w:val="28"/>
                <w:szCs w:val="28"/>
              </w:rPr>
              <w:t>Monday 28th November 2011, York Racecourse</w:t>
            </w:r>
          </w:p>
          <w:p w:rsidR="001424E5" w:rsidRDefault="001424E5">
            <w:pPr>
              <w:pStyle w:val="NoSpacing"/>
              <w:jc w:val="center"/>
              <w:rPr>
                <w:b/>
                <w:bCs/>
                <w:sz w:val="28"/>
                <w:szCs w:val="28"/>
              </w:rPr>
            </w:pPr>
          </w:p>
          <w:p w:rsidR="001424E5" w:rsidRDefault="001424E5">
            <w:pPr>
              <w:rPr>
                <w:rFonts w:ascii="Tahoma" w:hAnsi="Tahoma" w:cs="Tahoma"/>
              </w:rPr>
            </w:pPr>
            <w:r>
              <w:rPr>
                <w:rFonts w:ascii="Tahoma" w:hAnsi="Tahoma" w:cs="Tahoma"/>
              </w:rPr>
              <w:t xml:space="preserve">Tenant Panels are the Governments preferred route to ensure a new framework of accountability for landlords to ensure their tenants have a real say in how their services are delivered in their local area.  This is the Northern Housing Consortium and Scrutiny &amp; Empowerment Partners (SEP) first conference aimed specifically at Tenant Scrutiny Panel members and those involved in supporting them. </w:t>
            </w:r>
          </w:p>
          <w:p w:rsidR="001424E5" w:rsidRDefault="001424E5">
            <w:pPr>
              <w:rPr>
                <w:rFonts w:ascii="Tahoma" w:hAnsi="Tahoma" w:cs="Tahoma"/>
              </w:rPr>
            </w:pPr>
          </w:p>
          <w:p w:rsidR="001424E5" w:rsidRDefault="001424E5">
            <w:pPr>
              <w:rPr>
                <w:rFonts w:ascii="Tahoma" w:hAnsi="Tahoma" w:cs="Tahoma"/>
              </w:rPr>
            </w:pPr>
          </w:p>
          <w:p w:rsidR="001424E5" w:rsidRDefault="001424E5">
            <w:pPr>
              <w:rPr>
                <w:rFonts w:ascii="Tahoma" w:hAnsi="Tahoma" w:cs="Tahoma"/>
              </w:rPr>
            </w:pPr>
            <w:r>
              <w:rPr>
                <w:rFonts w:ascii="Tahoma" w:hAnsi="Tahoma" w:cs="Tahoma"/>
              </w:rPr>
              <w:t>We aim to make this an annual event and anticipate it will provide an excellent platform to network and to learn, to support each other, and to promote good practice.</w:t>
            </w:r>
          </w:p>
          <w:p w:rsidR="001424E5" w:rsidRDefault="001424E5">
            <w:pPr>
              <w:rPr>
                <w:rFonts w:ascii="Tahoma" w:hAnsi="Tahoma" w:cs="Tahoma"/>
              </w:rPr>
            </w:pPr>
          </w:p>
          <w:p w:rsidR="001424E5" w:rsidRDefault="001424E5">
            <w:pPr>
              <w:rPr>
                <w:rFonts w:ascii="Tahoma" w:hAnsi="Tahoma" w:cs="Tahoma"/>
              </w:rPr>
            </w:pPr>
          </w:p>
          <w:p w:rsidR="001424E5" w:rsidRDefault="001424E5">
            <w:pPr>
              <w:rPr>
                <w:rFonts w:ascii="Tahoma" w:hAnsi="Tahoma" w:cs="Tahoma"/>
                <w:b/>
                <w:bCs/>
              </w:rPr>
            </w:pPr>
            <w:r>
              <w:rPr>
                <w:rFonts w:ascii="Tahoma" w:hAnsi="Tahoma" w:cs="Tahoma"/>
                <w:b/>
                <w:bCs/>
              </w:rPr>
              <w:t>Focusing on the real practical issues the programme will concentrate on:</w:t>
            </w:r>
          </w:p>
          <w:p w:rsidR="001424E5" w:rsidRDefault="001424E5" w:rsidP="00641EBD">
            <w:pPr>
              <w:pStyle w:val="ListParagraph"/>
              <w:numPr>
                <w:ilvl w:val="0"/>
                <w:numId w:val="1"/>
              </w:numPr>
              <w:rPr>
                <w:rFonts w:ascii="Tahoma" w:hAnsi="Tahoma" w:cs="Tahoma"/>
                <w:sz w:val="22"/>
                <w:szCs w:val="22"/>
              </w:rPr>
            </w:pPr>
            <w:r>
              <w:rPr>
                <w:rFonts w:ascii="Tahoma" w:hAnsi="Tahoma" w:cs="Tahoma"/>
                <w:sz w:val="22"/>
                <w:szCs w:val="22"/>
              </w:rPr>
              <w:t>Different models and approaches by housing providers</w:t>
            </w:r>
          </w:p>
          <w:p w:rsidR="001424E5" w:rsidRDefault="001424E5" w:rsidP="00641EBD">
            <w:pPr>
              <w:pStyle w:val="ListParagraph"/>
              <w:numPr>
                <w:ilvl w:val="0"/>
                <w:numId w:val="1"/>
              </w:numPr>
              <w:rPr>
                <w:rFonts w:ascii="Tahoma" w:hAnsi="Tahoma" w:cs="Tahoma"/>
                <w:sz w:val="22"/>
                <w:szCs w:val="22"/>
              </w:rPr>
            </w:pPr>
            <w:r>
              <w:rPr>
                <w:rFonts w:ascii="Tahoma" w:hAnsi="Tahoma" w:cs="Tahoma"/>
                <w:sz w:val="22"/>
                <w:szCs w:val="22"/>
              </w:rPr>
              <w:t>Effective Tenant Panel development</w:t>
            </w:r>
          </w:p>
          <w:p w:rsidR="001424E5" w:rsidRDefault="001424E5" w:rsidP="00641EBD">
            <w:pPr>
              <w:pStyle w:val="ListParagraph"/>
              <w:numPr>
                <w:ilvl w:val="0"/>
                <w:numId w:val="1"/>
              </w:numPr>
              <w:rPr>
                <w:rFonts w:ascii="Tahoma" w:hAnsi="Tahoma" w:cs="Tahoma"/>
                <w:sz w:val="22"/>
                <w:szCs w:val="22"/>
              </w:rPr>
            </w:pPr>
            <w:r>
              <w:rPr>
                <w:rFonts w:ascii="Tahoma" w:hAnsi="Tahoma" w:cs="Tahoma"/>
                <w:sz w:val="22"/>
                <w:szCs w:val="22"/>
              </w:rPr>
              <w:t>Tenant Panels on complaints (the democratic filter)</w:t>
            </w:r>
          </w:p>
          <w:p w:rsidR="001424E5" w:rsidRDefault="001424E5" w:rsidP="00641EBD">
            <w:pPr>
              <w:pStyle w:val="ListParagraph"/>
              <w:numPr>
                <w:ilvl w:val="0"/>
                <w:numId w:val="1"/>
              </w:numPr>
              <w:rPr>
                <w:rFonts w:ascii="Tahoma" w:hAnsi="Tahoma" w:cs="Tahoma"/>
                <w:sz w:val="22"/>
                <w:szCs w:val="22"/>
              </w:rPr>
            </w:pPr>
            <w:r>
              <w:rPr>
                <w:rFonts w:ascii="Tahoma" w:hAnsi="Tahoma" w:cs="Tahoma"/>
                <w:sz w:val="22"/>
                <w:szCs w:val="22"/>
              </w:rPr>
              <w:t>Tenant cash-back and the right to manage</w:t>
            </w:r>
          </w:p>
          <w:p w:rsidR="001424E5" w:rsidRDefault="001424E5" w:rsidP="00641EBD">
            <w:pPr>
              <w:pStyle w:val="ListParagraph"/>
              <w:numPr>
                <w:ilvl w:val="0"/>
                <w:numId w:val="1"/>
              </w:numPr>
              <w:rPr>
                <w:rFonts w:ascii="Tahoma" w:hAnsi="Tahoma" w:cs="Tahoma"/>
                <w:sz w:val="22"/>
                <w:szCs w:val="22"/>
              </w:rPr>
            </w:pPr>
            <w:r>
              <w:rPr>
                <w:rFonts w:ascii="Tahoma" w:hAnsi="Tahoma" w:cs="Tahoma"/>
                <w:sz w:val="22"/>
                <w:szCs w:val="22"/>
              </w:rPr>
              <w:t>Recruitment, selection and skilling</w:t>
            </w:r>
          </w:p>
          <w:p w:rsidR="001424E5" w:rsidRDefault="001424E5" w:rsidP="00641EBD">
            <w:pPr>
              <w:pStyle w:val="ListParagraph"/>
              <w:numPr>
                <w:ilvl w:val="0"/>
                <w:numId w:val="1"/>
              </w:numPr>
              <w:rPr>
                <w:rFonts w:ascii="Tahoma" w:hAnsi="Tahoma" w:cs="Tahoma"/>
                <w:sz w:val="22"/>
                <w:szCs w:val="22"/>
              </w:rPr>
            </w:pPr>
            <w:r>
              <w:rPr>
                <w:rFonts w:ascii="Tahoma" w:hAnsi="Tahoma" w:cs="Tahoma"/>
                <w:sz w:val="22"/>
                <w:szCs w:val="22"/>
              </w:rPr>
              <w:t>Development in government policy around tenant scrutiny and housing</w:t>
            </w:r>
          </w:p>
          <w:p w:rsidR="001424E5" w:rsidRDefault="001424E5" w:rsidP="00641EBD">
            <w:pPr>
              <w:pStyle w:val="ListParagraph"/>
              <w:numPr>
                <w:ilvl w:val="0"/>
                <w:numId w:val="1"/>
              </w:numPr>
              <w:rPr>
                <w:rFonts w:ascii="Tahoma" w:hAnsi="Tahoma" w:cs="Tahoma"/>
                <w:sz w:val="22"/>
                <w:szCs w:val="22"/>
              </w:rPr>
            </w:pPr>
            <w:r>
              <w:rPr>
                <w:rFonts w:ascii="Tahoma" w:hAnsi="Tahoma" w:cs="Tahoma"/>
                <w:sz w:val="22"/>
                <w:szCs w:val="22"/>
              </w:rPr>
              <w:t>Understanding landlord performance</w:t>
            </w:r>
          </w:p>
          <w:p w:rsidR="001424E5" w:rsidRDefault="001424E5" w:rsidP="00641EBD">
            <w:pPr>
              <w:pStyle w:val="ListParagraph"/>
              <w:numPr>
                <w:ilvl w:val="0"/>
                <w:numId w:val="1"/>
              </w:numPr>
              <w:rPr>
                <w:rFonts w:ascii="Tahoma" w:hAnsi="Tahoma" w:cs="Tahoma"/>
                <w:sz w:val="22"/>
                <w:szCs w:val="22"/>
              </w:rPr>
            </w:pPr>
            <w:r>
              <w:rPr>
                <w:rFonts w:ascii="Tahoma" w:hAnsi="Tahoma" w:cs="Tahoma"/>
                <w:sz w:val="22"/>
                <w:szCs w:val="22"/>
              </w:rPr>
              <w:t>How to challenge housing organisations to ensure scrutiny powers are effective</w:t>
            </w:r>
          </w:p>
          <w:p w:rsidR="001424E5" w:rsidRDefault="001424E5" w:rsidP="00641EBD">
            <w:pPr>
              <w:pStyle w:val="ListParagraph"/>
              <w:numPr>
                <w:ilvl w:val="0"/>
                <w:numId w:val="1"/>
              </w:numPr>
              <w:rPr>
                <w:rFonts w:ascii="Tahoma" w:hAnsi="Tahoma" w:cs="Tahoma"/>
                <w:sz w:val="22"/>
                <w:szCs w:val="22"/>
              </w:rPr>
            </w:pPr>
            <w:r>
              <w:rPr>
                <w:rFonts w:ascii="Tahoma" w:hAnsi="Tahoma" w:cs="Tahoma"/>
                <w:sz w:val="22"/>
                <w:szCs w:val="22"/>
              </w:rPr>
              <w:t>Proportionate accountability – getting the balance right</w:t>
            </w:r>
          </w:p>
          <w:p w:rsidR="001424E5" w:rsidRDefault="001424E5" w:rsidP="00641EBD">
            <w:pPr>
              <w:pStyle w:val="ListParagraph"/>
              <w:numPr>
                <w:ilvl w:val="0"/>
                <w:numId w:val="1"/>
              </w:numPr>
              <w:rPr>
                <w:rFonts w:ascii="Tahoma" w:hAnsi="Tahoma" w:cs="Tahoma"/>
                <w:sz w:val="22"/>
                <w:szCs w:val="22"/>
              </w:rPr>
            </w:pPr>
            <w:r>
              <w:rPr>
                <w:rFonts w:ascii="Tahoma" w:hAnsi="Tahoma" w:cs="Tahoma"/>
                <w:sz w:val="22"/>
                <w:szCs w:val="22"/>
              </w:rPr>
              <w:t>Working with existing governance structures</w:t>
            </w:r>
          </w:p>
          <w:p w:rsidR="001424E5" w:rsidRPr="001424E5" w:rsidRDefault="001424E5" w:rsidP="001424E5">
            <w:pPr>
              <w:rPr>
                <w:rFonts w:ascii="Tahoma" w:hAnsi="Tahoma" w:cs="Tahoma"/>
              </w:rPr>
            </w:pPr>
          </w:p>
          <w:p w:rsidR="001424E5" w:rsidRDefault="001424E5">
            <w:pPr>
              <w:rPr>
                <w:rFonts w:ascii="Tahoma" w:hAnsi="Tahoma" w:cs="Tahoma"/>
              </w:rPr>
            </w:pPr>
            <w:r>
              <w:rPr>
                <w:rFonts w:ascii="Tahoma" w:hAnsi="Tahoma" w:cs="Tahoma"/>
              </w:rPr>
              <w:t>The Governments agenda for tenants to play a bigger role in the management of their homes is unfolding through the Department for Communities and Local Government (DCLG) draft directions to the Tenant Services Authority (TSA), the Localism Bill soon to receive Royal Assent, and the new tenants standards, including the tenant involvement and empowerment standard, out for consultation in November by the TSA.</w:t>
            </w:r>
          </w:p>
          <w:p w:rsidR="001424E5" w:rsidRDefault="001424E5">
            <w:pPr>
              <w:rPr>
                <w:rFonts w:ascii="Tahoma" w:hAnsi="Tahoma" w:cs="Tahoma"/>
              </w:rPr>
            </w:pPr>
            <w:r>
              <w:rPr>
                <w:rFonts w:ascii="Tahoma" w:hAnsi="Tahoma" w:cs="Tahoma"/>
              </w:rPr>
              <w:t xml:space="preserve">Building on our summer conference on scrutiny, this conference will focus on discussing the details of government proposals and how they affect landlords and tenants. </w:t>
            </w:r>
          </w:p>
          <w:p w:rsidR="001424E5" w:rsidRDefault="001424E5">
            <w:pPr>
              <w:rPr>
                <w:rFonts w:ascii="Tahoma" w:hAnsi="Tahoma" w:cs="Tahoma"/>
              </w:rPr>
            </w:pPr>
          </w:p>
          <w:p w:rsidR="001424E5" w:rsidRDefault="001424E5">
            <w:pPr>
              <w:rPr>
                <w:rFonts w:ascii="Tahoma" w:hAnsi="Tahoma" w:cs="Tahoma"/>
              </w:rPr>
            </w:pPr>
          </w:p>
          <w:p w:rsidR="001424E5" w:rsidRDefault="001424E5">
            <w:pPr>
              <w:pStyle w:val="NoSpacing"/>
              <w:jc w:val="both"/>
              <w:rPr>
                <w:rFonts w:ascii="Tahoma" w:hAnsi="Tahoma" w:cs="Tahoma"/>
                <w:sz w:val="22"/>
                <w:szCs w:val="22"/>
              </w:rPr>
            </w:pPr>
            <w:r>
              <w:rPr>
                <w:rFonts w:ascii="Tahoma" w:hAnsi="Tahoma" w:cs="Tahoma"/>
                <w:sz w:val="22"/>
                <w:szCs w:val="22"/>
              </w:rPr>
              <w:t>This conference will look at practical ways for landlords to manage the changes, ways to empower tenants to influence changes to services, and best practice, and provide opportunities for Members of the NHC and SEP to network and share good practice.</w:t>
            </w:r>
          </w:p>
          <w:p w:rsidR="001424E5" w:rsidRDefault="001424E5">
            <w:pPr>
              <w:pStyle w:val="NoSpacing"/>
              <w:jc w:val="both"/>
              <w:rPr>
                <w:rFonts w:ascii="Tahoma" w:hAnsi="Tahoma" w:cs="Tahoma"/>
                <w:sz w:val="22"/>
                <w:szCs w:val="22"/>
              </w:rPr>
            </w:pPr>
          </w:p>
          <w:p w:rsidR="001424E5" w:rsidRDefault="001424E5">
            <w:pPr>
              <w:pStyle w:val="NoSpacing"/>
              <w:jc w:val="both"/>
              <w:rPr>
                <w:rFonts w:ascii="Tahoma" w:hAnsi="Tahoma" w:cs="Tahoma"/>
                <w:sz w:val="22"/>
                <w:szCs w:val="22"/>
              </w:rPr>
            </w:pPr>
          </w:p>
          <w:p w:rsidR="001424E5" w:rsidRDefault="001424E5">
            <w:pPr>
              <w:pStyle w:val="NoSpacing"/>
              <w:jc w:val="both"/>
              <w:rPr>
                <w:rFonts w:ascii="Tahoma" w:hAnsi="Tahoma" w:cs="Tahoma"/>
                <w:b/>
                <w:bCs/>
                <w:sz w:val="22"/>
                <w:szCs w:val="22"/>
              </w:rPr>
            </w:pPr>
            <w:r>
              <w:rPr>
                <w:rFonts w:ascii="Tahoma" w:hAnsi="Tahoma" w:cs="Tahoma"/>
                <w:b/>
                <w:bCs/>
                <w:sz w:val="22"/>
                <w:szCs w:val="22"/>
              </w:rPr>
              <w:t>So what will I hear at the conference?</w:t>
            </w:r>
          </w:p>
          <w:p w:rsidR="001424E5" w:rsidRDefault="001424E5" w:rsidP="00641EBD">
            <w:pPr>
              <w:pStyle w:val="NoSpacing"/>
              <w:numPr>
                <w:ilvl w:val="0"/>
                <w:numId w:val="2"/>
              </w:numPr>
              <w:jc w:val="both"/>
              <w:rPr>
                <w:rFonts w:ascii="Tahoma" w:hAnsi="Tahoma" w:cs="Tahoma"/>
                <w:sz w:val="22"/>
                <w:szCs w:val="22"/>
              </w:rPr>
            </w:pPr>
            <w:r>
              <w:rPr>
                <w:rFonts w:ascii="Tahoma" w:hAnsi="Tahoma" w:cs="Tahoma"/>
                <w:sz w:val="22"/>
                <w:szCs w:val="22"/>
              </w:rPr>
              <w:t>The role residents can play in shaping new ways of working</w:t>
            </w:r>
          </w:p>
          <w:p w:rsidR="001424E5" w:rsidRDefault="001424E5" w:rsidP="00641EBD">
            <w:pPr>
              <w:pStyle w:val="NoSpacing"/>
              <w:numPr>
                <w:ilvl w:val="0"/>
                <w:numId w:val="2"/>
              </w:numPr>
              <w:jc w:val="both"/>
              <w:rPr>
                <w:rFonts w:ascii="Tahoma" w:hAnsi="Tahoma" w:cs="Tahoma"/>
                <w:sz w:val="22"/>
                <w:szCs w:val="22"/>
              </w:rPr>
            </w:pPr>
            <w:r>
              <w:rPr>
                <w:rFonts w:ascii="Tahoma" w:hAnsi="Tahoma" w:cs="Tahoma"/>
                <w:sz w:val="22"/>
                <w:szCs w:val="22"/>
              </w:rPr>
              <w:t>Good practice in dealing with complaints and the new role for tenants</w:t>
            </w:r>
          </w:p>
          <w:p w:rsidR="001424E5" w:rsidRDefault="001424E5" w:rsidP="00641EBD">
            <w:pPr>
              <w:pStyle w:val="NoSpacing"/>
              <w:numPr>
                <w:ilvl w:val="0"/>
                <w:numId w:val="2"/>
              </w:numPr>
              <w:jc w:val="both"/>
              <w:rPr>
                <w:rFonts w:ascii="Tahoma" w:hAnsi="Tahoma" w:cs="Tahoma"/>
                <w:sz w:val="22"/>
                <w:szCs w:val="22"/>
              </w:rPr>
            </w:pPr>
            <w:r>
              <w:rPr>
                <w:rFonts w:ascii="Tahoma" w:hAnsi="Tahoma" w:cs="Tahoma"/>
                <w:sz w:val="22"/>
                <w:szCs w:val="22"/>
              </w:rPr>
              <w:t xml:space="preserve">Latest developments on scrutiny </w:t>
            </w:r>
          </w:p>
          <w:p w:rsidR="001424E5" w:rsidRDefault="001424E5" w:rsidP="00641EBD">
            <w:pPr>
              <w:pStyle w:val="NoSpacing"/>
              <w:numPr>
                <w:ilvl w:val="0"/>
                <w:numId w:val="2"/>
              </w:numPr>
              <w:jc w:val="both"/>
              <w:rPr>
                <w:rFonts w:ascii="Tahoma" w:hAnsi="Tahoma" w:cs="Tahoma"/>
                <w:sz w:val="22"/>
                <w:szCs w:val="22"/>
              </w:rPr>
            </w:pPr>
            <w:r>
              <w:rPr>
                <w:rFonts w:ascii="Tahoma" w:hAnsi="Tahoma" w:cs="Tahoma"/>
                <w:sz w:val="22"/>
                <w:szCs w:val="22"/>
              </w:rPr>
              <w:t>Best practice and practical outcomes</w:t>
            </w:r>
          </w:p>
          <w:p w:rsidR="001424E5" w:rsidRDefault="001424E5" w:rsidP="00641EBD">
            <w:pPr>
              <w:pStyle w:val="NoSpacing"/>
              <w:numPr>
                <w:ilvl w:val="0"/>
                <w:numId w:val="2"/>
              </w:numPr>
              <w:jc w:val="both"/>
              <w:rPr>
                <w:rFonts w:ascii="Tahoma" w:hAnsi="Tahoma" w:cs="Tahoma"/>
                <w:sz w:val="22"/>
                <w:szCs w:val="22"/>
              </w:rPr>
            </w:pPr>
            <w:r>
              <w:rPr>
                <w:rFonts w:ascii="Tahoma" w:hAnsi="Tahoma" w:cs="Tahoma"/>
                <w:sz w:val="22"/>
                <w:szCs w:val="22"/>
              </w:rPr>
              <w:t>Involving young people</w:t>
            </w:r>
          </w:p>
          <w:p w:rsidR="001424E5" w:rsidRDefault="001424E5" w:rsidP="00641EBD">
            <w:pPr>
              <w:pStyle w:val="NoSpacing"/>
              <w:numPr>
                <w:ilvl w:val="0"/>
                <w:numId w:val="2"/>
              </w:numPr>
              <w:jc w:val="both"/>
              <w:rPr>
                <w:rFonts w:ascii="Tahoma" w:hAnsi="Tahoma" w:cs="Tahoma"/>
                <w:sz w:val="22"/>
                <w:szCs w:val="22"/>
              </w:rPr>
            </w:pPr>
            <w:r>
              <w:rPr>
                <w:rFonts w:ascii="Tahoma" w:hAnsi="Tahoma" w:cs="Tahoma"/>
                <w:sz w:val="22"/>
                <w:szCs w:val="22"/>
              </w:rPr>
              <w:t>Making best use of social media</w:t>
            </w:r>
          </w:p>
          <w:p w:rsidR="001424E5" w:rsidRDefault="001424E5" w:rsidP="00641EBD">
            <w:pPr>
              <w:pStyle w:val="NoSpacing"/>
              <w:numPr>
                <w:ilvl w:val="0"/>
                <w:numId w:val="2"/>
              </w:numPr>
              <w:jc w:val="both"/>
              <w:rPr>
                <w:rFonts w:ascii="Tahoma" w:hAnsi="Tahoma" w:cs="Tahoma"/>
                <w:sz w:val="22"/>
                <w:szCs w:val="22"/>
              </w:rPr>
            </w:pPr>
            <w:r>
              <w:rPr>
                <w:rFonts w:ascii="Tahoma" w:hAnsi="Tahoma" w:cs="Tahoma"/>
                <w:sz w:val="22"/>
                <w:szCs w:val="22"/>
              </w:rPr>
              <w:t>Tenant cash-back</w:t>
            </w:r>
          </w:p>
          <w:p w:rsidR="001424E5" w:rsidRDefault="001424E5" w:rsidP="00641EBD">
            <w:pPr>
              <w:pStyle w:val="NoSpacing"/>
              <w:numPr>
                <w:ilvl w:val="0"/>
                <w:numId w:val="2"/>
              </w:numPr>
              <w:jc w:val="both"/>
              <w:rPr>
                <w:rFonts w:ascii="Tahoma" w:hAnsi="Tahoma" w:cs="Tahoma"/>
                <w:sz w:val="22"/>
                <w:szCs w:val="22"/>
              </w:rPr>
            </w:pPr>
            <w:r>
              <w:rPr>
                <w:rFonts w:ascii="Tahoma" w:hAnsi="Tahoma" w:cs="Tahoma"/>
                <w:sz w:val="22"/>
                <w:szCs w:val="22"/>
              </w:rPr>
              <w:t>Right to Manage (RTM) – the options, big and small</w:t>
            </w:r>
          </w:p>
          <w:p w:rsidR="001424E5" w:rsidRDefault="001424E5" w:rsidP="00641EBD">
            <w:pPr>
              <w:pStyle w:val="NoSpacing"/>
              <w:numPr>
                <w:ilvl w:val="0"/>
                <w:numId w:val="2"/>
              </w:numPr>
              <w:jc w:val="both"/>
              <w:rPr>
                <w:rFonts w:ascii="Tahoma" w:hAnsi="Tahoma" w:cs="Tahoma"/>
                <w:sz w:val="22"/>
                <w:szCs w:val="22"/>
              </w:rPr>
            </w:pPr>
            <w:r>
              <w:rPr>
                <w:rFonts w:ascii="Tahoma" w:hAnsi="Tahoma" w:cs="Tahoma"/>
                <w:sz w:val="22"/>
                <w:szCs w:val="22"/>
              </w:rPr>
              <w:t>Tools to test the strength of your scrutiny arrangements</w:t>
            </w:r>
          </w:p>
          <w:p w:rsidR="001424E5" w:rsidRDefault="001424E5" w:rsidP="00641EBD">
            <w:pPr>
              <w:pStyle w:val="NoSpacing"/>
              <w:numPr>
                <w:ilvl w:val="0"/>
                <w:numId w:val="2"/>
              </w:numPr>
              <w:jc w:val="both"/>
              <w:rPr>
                <w:rFonts w:ascii="Tahoma" w:hAnsi="Tahoma" w:cs="Tahoma"/>
                <w:sz w:val="22"/>
                <w:szCs w:val="22"/>
              </w:rPr>
            </w:pPr>
            <w:r>
              <w:rPr>
                <w:rFonts w:ascii="Tahoma" w:hAnsi="Tahoma" w:cs="Tahoma"/>
                <w:sz w:val="22"/>
                <w:szCs w:val="22"/>
              </w:rPr>
              <w:t>Skills workshops - both technical and as community leaders</w:t>
            </w:r>
          </w:p>
          <w:p w:rsidR="001424E5" w:rsidRDefault="001424E5" w:rsidP="001424E5">
            <w:pPr>
              <w:pStyle w:val="NoSpacing"/>
              <w:ind w:left="360"/>
              <w:jc w:val="both"/>
              <w:rPr>
                <w:rFonts w:ascii="Tahoma" w:hAnsi="Tahoma" w:cs="Tahoma"/>
                <w:sz w:val="22"/>
                <w:szCs w:val="22"/>
              </w:rPr>
            </w:pPr>
          </w:p>
          <w:p w:rsidR="001424E5" w:rsidRPr="001424E5" w:rsidRDefault="001424E5">
            <w:pPr>
              <w:jc w:val="both"/>
              <w:rPr>
                <w:rFonts w:ascii="Tahoma" w:hAnsi="Tahoma" w:cs="Tahoma"/>
                <w:highlight w:val="yellow"/>
              </w:rPr>
            </w:pPr>
          </w:p>
          <w:p w:rsidR="001424E5" w:rsidRPr="001424E5" w:rsidRDefault="001424E5">
            <w:pPr>
              <w:pStyle w:val="NoSpacing"/>
              <w:jc w:val="both"/>
              <w:rPr>
                <w:rFonts w:ascii="Tahoma" w:hAnsi="Tahoma" w:cs="Tahoma"/>
                <w:b/>
                <w:bCs/>
                <w:sz w:val="22"/>
                <w:szCs w:val="22"/>
              </w:rPr>
            </w:pPr>
            <w:r w:rsidRPr="001424E5">
              <w:rPr>
                <w:rFonts w:ascii="Tahoma" w:hAnsi="Tahoma" w:cs="Tahoma"/>
                <w:b/>
                <w:bCs/>
                <w:sz w:val="22"/>
                <w:szCs w:val="22"/>
              </w:rPr>
              <w:t>By attending this conference you will:</w:t>
            </w:r>
          </w:p>
          <w:p w:rsidR="001424E5" w:rsidRPr="001424E5" w:rsidRDefault="001424E5" w:rsidP="00641EBD">
            <w:pPr>
              <w:numPr>
                <w:ilvl w:val="0"/>
                <w:numId w:val="2"/>
              </w:numPr>
              <w:jc w:val="both"/>
              <w:rPr>
                <w:rFonts w:ascii="Tahoma" w:hAnsi="Tahoma" w:cs="Tahoma"/>
              </w:rPr>
            </w:pPr>
            <w:r w:rsidRPr="001424E5">
              <w:rPr>
                <w:rFonts w:ascii="Tahoma" w:hAnsi="Tahoma" w:cs="Tahoma"/>
              </w:rPr>
              <w:t>Hear from policy makers</w:t>
            </w:r>
          </w:p>
          <w:p w:rsidR="001424E5" w:rsidRPr="001424E5" w:rsidRDefault="001424E5" w:rsidP="00641EBD">
            <w:pPr>
              <w:numPr>
                <w:ilvl w:val="0"/>
                <w:numId w:val="2"/>
              </w:numPr>
              <w:jc w:val="both"/>
              <w:rPr>
                <w:rFonts w:ascii="Tahoma" w:hAnsi="Tahoma" w:cs="Tahoma"/>
              </w:rPr>
            </w:pPr>
            <w:r w:rsidRPr="001424E5">
              <w:rPr>
                <w:rFonts w:ascii="Tahoma" w:hAnsi="Tahoma" w:cs="Tahoma"/>
              </w:rPr>
              <w:t xml:space="preserve">Understand the timetable and requirements for change </w:t>
            </w:r>
          </w:p>
          <w:p w:rsidR="001424E5" w:rsidRPr="001424E5" w:rsidRDefault="001424E5" w:rsidP="00641EBD">
            <w:pPr>
              <w:pStyle w:val="ListParagraph"/>
              <w:numPr>
                <w:ilvl w:val="0"/>
                <w:numId w:val="2"/>
              </w:numPr>
              <w:spacing w:after="0" w:line="240" w:lineRule="auto"/>
              <w:jc w:val="both"/>
              <w:rPr>
                <w:rFonts w:ascii="Tahoma" w:hAnsi="Tahoma" w:cs="Tahoma"/>
                <w:sz w:val="22"/>
                <w:szCs w:val="22"/>
              </w:rPr>
            </w:pPr>
            <w:r w:rsidRPr="001424E5">
              <w:rPr>
                <w:rFonts w:ascii="Tahoma" w:hAnsi="Tahoma" w:cs="Tahoma"/>
                <w:sz w:val="22"/>
                <w:szCs w:val="22"/>
              </w:rPr>
              <w:t>Consider the impact of these changes for landlords and tenants, boards and elected members</w:t>
            </w:r>
          </w:p>
          <w:p w:rsidR="001424E5" w:rsidRPr="001424E5" w:rsidRDefault="001424E5" w:rsidP="00641EBD">
            <w:pPr>
              <w:numPr>
                <w:ilvl w:val="0"/>
                <w:numId w:val="2"/>
              </w:numPr>
              <w:jc w:val="both"/>
              <w:rPr>
                <w:rFonts w:ascii="Tahoma" w:hAnsi="Tahoma" w:cs="Tahoma"/>
              </w:rPr>
            </w:pPr>
            <w:r w:rsidRPr="001424E5">
              <w:rPr>
                <w:rFonts w:ascii="Tahoma" w:hAnsi="Tahoma" w:cs="Tahoma"/>
              </w:rPr>
              <w:t xml:space="preserve">Find out who will be doing what, and how – what new arrangements will look like </w:t>
            </w:r>
          </w:p>
          <w:p w:rsidR="001424E5" w:rsidRPr="001424E5" w:rsidRDefault="001424E5" w:rsidP="00641EBD">
            <w:pPr>
              <w:pStyle w:val="NoSpacing"/>
              <w:numPr>
                <w:ilvl w:val="0"/>
                <w:numId w:val="2"/>
              </w:numPr>
              <w:jc w:val="both"/>
              <w:rPr>
                <w:rFonts w:ascii="Tahoma" w:hAnsi="Tahoma" w:cs="Tahoma"/>
                <w:sz w:val="22"/>
                <w:szCs w:val="22"/>
              </w:rPr>
            </w:pPr>
            <w:r w:rsidRPr="001424E5">
              <w:rPr>
                <w:rFonts w:ascii="Tahoma" w:hAnsi="Tahoma" w:cs="Tahoma"/>
                <w:sz w:val="22"/>
                <w:szCs w:val="22"/>
              </w:rPr>
              <w:t>Hear good practice identified by sharing some of the early findings from the report on the co-regulatory champions</w:t>
            </w:r>
          </w:p>
          <w:p w:rsidR="001424E5" w:rsidRPr="001424E5" w:rsidRDefault="001424E5" w:rsidP="00641EBD">
            <w:pPr>
              <w:numPr>
                <w:ilvl w:val="0"/>
                <w:numId w:val="2"/>
              </w:numPr>
              <w:jc w:val="both"/>
              <w:rPr>
                <w:rFonts w:ascii="Tahoma" w:hAnsi="Tahoma" w:cs="Tahoma"/>
              </w:rPr>
            </w:pPr>
            <w:r w:rsidRPr="001424E5">
              <w:rPr>
                <w:rFonts w:ascii="Tahoma" w:hAnsi="Tahoma" w:cs="Tahoma"/>
              </w:rPr>
              <w:t>Hear examples from pilots and front runners on cash-back and right to manage</w:t>
            </w:r>
          </w:p>
          <w:p w:rsidR="001424E5" w:rsidRPr="001424E5" w:rsidRDefault="001424E5" w:rsidP="00641EBD">
            <w:pPr>
              <w:numPr>
                <w:ilvl w:val="0"/>
                <w:numId w:val="2"/>
              </w:numPr>
              <w:jc w:val="both"/>
              <w:rPr>
                <w:rFonts w:ascii="Tahoma" w:hAnsi="Tahoma" w:cs="Tahoma"/>
              </w:rPr>
            </w:pPr>
            <w:r w:rsidRPr="001424E5">
              <w:rPr>
                <w:rFonts w:ascii="Tahoma" w:hAnsi="Tahoma" w:cs="Tahoma"/>
              </w:rPr>
              <w:t>Learn some new techniques and find out how to support each other</w:t>
            </w:r>
          </w:p>
          <w:p w:rsidR="001424E5" w:rsidRDefault="001424E5" w:rsidP="00641EBD">
            <w:pPr>
              <w:numPr>
                <w:ilvl w:val="0"/>
                <w:numId w:val="2"/>
              </w:numPr>
              <w:jc w:val="both"/>
              <w:rPr>
                <w:rFonts w:ascii="Tahoma" w:hAnsi="Tahoma" w:cs="Tahoma"/>
              </w:rPr>
            </w:pPr>
            <w:r w:rsidRPr="001424E5">
              <w:rPr>
                <w:rFonts w:ascii="Tahoma" w:hAnsi="Tahoma" w:cs="Tahoma"/>
              </w:rPr>
              <w:t>Learn about approaches that deliver empowerment and engagement locally</w:t>
            </w:r>
          </w:p>
          <w:p w:rsidR="001424E5" w:rsidRPr="001424E5" w:rsidRDefault="001424E5" w:rsidP="001424E5">
            <w:pPr>
              <w:ind w:left="360"/>
              <w:jc w:val="both"/>
              <w:rPr>
                <w:rFonts w:ascii="Tahoma" w:hAnsi="Tahoma" w:cs="Tahoma"/>
              </w:rPr>
            </w:pPr>
          </w:p>
          <w:p w:rsidR="001424E5" w:rsidRPr="001424E5" w:rsidRDefault="001424E5">
            <w:pPr>
              <w:ind w:left="360"/>
              <w:jc w:val="both"/>
              <w:rPr>
                <w:rFonts w:ascii="Tahoma" w:hAnsi="Tahoma" w:cs="Tahoma"/>
              </w:rPr>
            </w:pPr>
          </w:p>
          <w:p w:rsidR="001424E5" w:rsidRPr="001424E5" w:rsidRDefault="001424E5">
            <w:pPr>
              <w:jc w:val="both"/>
              <w:rPr>
                <w:rFonts w:ascii="Tahoma" w:hAnsi="Tahoma" w:cs="Tahoma"/>
                <w:b/>
                <w:bCs/>
              </w:rPr>
            </w:pPr>
            <w:r w:rsidRPr="001424E5">
              <w:rPr>
                <w:rFonts w:ascii="Tahoma" w:hAnsi="Tahoma" w:cs="Tahoma"/>
                <w:b/>
                <w:bCs/>
              </w:rPr>
              <w:t>Speakers include:</w:t>
            </w:r>
          </w:p>
          <w:p w:rsidR="001424E5" w:rsidRPr="001424E5" w:rsidRDefault="001424E5" w:rsidP="00641EBD">
            <w:pPr>
              <w:pStyle w:val="ListParagraph"/>
              <w:numPr>
                <w:ilvl w:val="0"/>
                <w:numId w:val="2"/>
              </w:numPr>
              <w:spacing w:after="0" w:line="240" w:lineRule="auto"/>
              <w:jc w:val="both"/>
              <w:rPr>
                <w:rFonts w:ascii="Tahoma" w:hAnsi="Tahoma" w:cs="Tahoma"/>
                <w:sz w:val="22"/>
                <w:szCs w:val="22"/>
              </w:rPr>
            </w:pPr>
            <w:r w:rsidRPr="001424E5">
              <w:rPr>
                <w:rFonts w:ascii="Tahoma" w:hAnsi="Tahoma" w:cs="Tahoma"/>
                <w:sz w:val="22"/>
                <w:szCs w:val="22"/>
              </w:rPr>
              <w:t>Raphael Runco, Deputy Ombudsman, Housing Ombudsman Service</w:t>
            </w:r>
          </w:p>
          <w:p w:rsidR="001424E5" w:rsidRPr="001424E5" w:rsidRDefault="001424E5" w:rsidP="00641EBD">
            <w:pPr>
              <w:pStyle w:val="ListParagraph"/>
              <w:numPr>
                <w:ilvl w:val="0"/>
                <w:numId w:val="2"/>
              </w:numPr>
              <w:spacing w:after="0" w:line="240" w:lineRule="auto"/>
              <w:jc w:val="both"/>
              <w:rPr>
                <w:rFonts w:ascii="Tahoma" w:hAnsi="Tahoma" w:cs="Tahoma"/>
                <w:sz w:val="22"/>
                <w:szCs w:val="22"/>
              </w:rPr>
            </w:pPr>
            <w:r w:rsidRPr="001424E5">
              <w:rPr>
                <w:rFonts w:ascii="Tahoma" w:hAnsi="Tahoma" w:cs="Tahoma"/>
                <w:sz w:val="22"/>
                <w:szCs w:val="22"/>
              </w:rPr>
              <w:t>TSA &amp; CLG (invited)</w:t>
            </w:r>
          </w:p>
          <w:p w:rsidR="001424E5" w:rsidRPr="001424E5" w:rsidRDefault="001424E5" w:rsidP="00641EBD">
            <w:pPr>
              <w:pStyle w:val="ListParagraph"/>
              <w:numPr>
                <w:ilvl w:val="0"/>
                <w:numId w:val="3"/>
              </w:numPr>
              <w:spacing w:after="0" w:line="240" w:lineRule="auto"/>
              <w:jc w:val="both"/>
              <w:rPr>
                <w:rFonts w:ascii="Tahoma" w:hAnsi="Tahoma" w:cs="Tahoma"/>
                <w:sz w:val="22"/>
                <w:szCs w:val="22"/>
              </w:rPr>
            </w:pPr>
            <w:r w:rsidRPr="001424E5">
              <w:rPr>
                <w:rFonts w:ascii="Tahoma" w:hAnsi="Tahoma" w:cs="Tahoma"/>
                <w:sz w:val="22"/>
                <w:szCs w:val="22"/>
              </w:rPr>
              <w:t>Jessica Crowe, Executive Director, Centre for Public Scrutiny</w:t>
            </w:r>
          </w:p>
          <w:p w:rsidR="001424E5" w:rsidRPr="001424E5" w:rsidRDefault="001424E5" w:rsidP="00641EBD">
            <w:pPr>
              <w:pStyle w:val="ListParagraph"/>
              <w:numPr>
                <w:ilvl w:val="0"/>
                <w:numId w:val="2"/>
              </w:numPr>
              <w:spacing w:after="0" w:line="240" w:lineRule="auto"/>
              <w:jc w:val="both"/>
              <w:rPr>
                <w:rFonts w:ascii="Tahoma" w:hAnsi="Tahoma" w:cs="Tahoma"/>
                <w:sz w:val="22"/>
                <w:szCs w:val="22"/>
              </w:rPr>
            </w:pPr>
            <w:r w:rsidRPr="001424E5">
              <w:rPr>
                <w:rFonts w:ascii="Tahoma" w:hAnsi="Tahoma" w:cs="Tahoma"/>
                <w:sz w:val="22"/>
                <w:szCs w:val="22"/>
              </w:rPr>
              <w:t>Yvonne Davies &amp; Linda Levin, Directors, Scrutiny and Empowerment Partners Ltd</w:t>
            </w:r>
          </w:p>
          <w:p w:rsidR="001424E5" w:rsidRPr="001424E5" w:rsidRDefault="001424E5" w:rsidP="00641EBD">
            <w:pPr>
              <w:pStyle w:val="ListParagraph"/>
              <w:numPr>
                <w:ilvl w:val="0"/>
                <w:numId w:val="2"/>
              </w:numPr>
              <w:spacing w:after="0" w:line="240" w:lineRule="auto"/>
              <w:jc w:val="both"/>
              <w:rPr>
                <w:rFonts w:ascii="Tahoma" w:hAnsi="Tahoma" w:cs="Tahoma"/>
                <w:sz w:val="22"/>
                <w:szCs w:val="22"/>
              </w:rPr>
            </w:pPr>
            <w:r w:rsidRPr="001424E5">
              <w:rPr>
                <w:rFonts w:ascii="Tahoma" w:hAnsi="Tahoma" w:cs="Tahoma"/>
                <w:sz w:val="22"/>
                <w:szCs w:val="22"/>
              </w:rPr>
              <w:t>Tenants and landlords</w:t>
            </w:r>
          </w:p>
          <w:p w:rsidR="001424E5" w:rsidRPr="001424E5" w:rsidRDefault="001424E5" w:rsidP="00641EBD">
            <w:pPr>
              <w:pStyle w:val="ListParagraph"/>
              <w:numPr>
                <w:ilvl w:val="0"/>
                <w:numId w:val="2"/>
              </w:numPr>
              <w:spacing w:after="0" w:line="240" w:lineRule="auto"/>
              <w:jc w:val="both"/>
              <w:rPr>
                <w:rFonts w:ascii="Tahoma" w:hAnsi="Tahoma" w:cs="Tahoma"/>
                <w:sz w:val="22"/>
                <w:szCs w:val="22"/>
              </w:rPr>
            </w:pPr>
            <w:r w:rsidRPr="001424E5">
              <w:rPr>
                <w:rFonts w:ascii="Tahoma" w:hAnsi="Tahoma" w:cs="Tahoma"/>
                <w:sz w:val="22"/>
                <w:szCs w:val="22"/>
              </w:rPr>
              <w:t>Co-regulatory champions</w:t>
            </w:r>
          </w:p>
          <w:p w:rsidR="001424E5" w:rsidRPr="001424E5" w:rsidRDefault="001424E5" w:rsidP="00641EBD">
            <w:pPr>
              <w:pStyle w:val="ListParagraph"/>
              <w:numPr>
                <w:ilvl w:val="0"/>
                <w:numId w:val="2"/>
              </w:numPr>
              <w:spacing w:after="0" w:line="240" w:lineRule="auto"/>
              <w:jc w:val="both"/>
              <w:rPr>
                <w:rFonts w:ascii="Tahoma" w:hAnsi="Tahoma" w:cs="Tahoma"/>
                <w:sz w:val="22"/>
                <w:szCs w:val="22"/>
              </w:rPr>
            </w:pPr>
            <w:r w:rsidRPr="001424E5">
              <w:rPr>
                <w:rFonts w:ascii="Tahoma" w:hAnsi="Tahoma" w:cs="Tahoma"/>
                <w:sz w:val="22"/>
                <w:szCs w:val="22"/>
              </w:rPr>
              <w:t>Scrutiny experts</w:t>
            </w:r>
          </w:p>
          <w:p w:rsidR="001424E5" w:rsidRPr="001424E5" w:rsidRDefault="001424E5" w:rsidP="00641EBD">
            <w:pPr>
              <w:pStyle w:val="ListParagraph"/>
              <w:numPr>
                <w:ilvl w:val="0"/>
                <w:numId w:val="2"/>
              </w:numPr>
              <w:spacing w:after="0" w:line="240" w:lineRule="auto"/>
              <w:jc w:val="both"/>
              <w:rPr>
                <w:rFonts w:ascii="Tahoma" w:hAnsi="Tahoma" w:cs="Tahoma"/>
                <w:sz w:val="22"/>
                <w:szCs w:val="22"/>
              </w:rPr>
            </w:pPr>
            <w:r w:rsidRPr="001424E5">
              <w:rPr>
                <w:rFonts w:ascii="Tahoma" w:hAnsi="Tahoma" w:cs="Tahoma"/>
                <w:sz w:val="22"/>
                <w:szCs w:val="22"/>
              </w:rPr>
              <w:t>Coaching and mentoring experts</w:t>
            </w:r>
          </w:p>
          <w:p w:rsidR="001424E5" w:rsidRPr="001424E5" w:rsidRDefault="001424E5" w:rsidP="00641EBD">
            <w:pPr>
              <w:pStyle w:val="ListParagraph"/>
              <w:numPr>
                <w:ilvl w:val="0"/>
                <w:numId w:val="2"/>
              </w:numPr>
              <w:spacing w:after="0" w:line="240" w:lineRule="auto"/>
              <w:jc w:val="both"/>
              <w:rPr>
                <w:rFonts w:ascii="Tahoma" w:hAnsi="Tahoma" w:cs="Tahoma"/>
                <w:sz w:val="22"/>
                <w:szCs w:val="22"/>
              </w:rPr>
            </w:pPr>
            <w:r w:rsidRPr="001424E5">
              <w:rPr>
                <w:rFonts w:ascii="Tahoma" w:hAnsi="Tahoma" w:cs="Tahoma"/>
                <w:sz w:val="22"/>
                <w:szCs w:val="22"/>
              </w:rPr>
              <w:t>Government</w:t>
            </w:r>
          </w:p>
          <w:p w:rsidR="001424E5" w:rsidRDefault="001424E5">
            <w:pPr>
              <w:jc w:val="both"/>
              <w:rPr>
                <w:color w:val="7030A0"/>
              </w:rPr>
            </w:pPr>
          </w:p>
          <w:p w:rsidR="001424E5" w:rsidRDefault="001424E5">
            <w:pPr>
              <w:jc w:val="both"/>
              <w:rPr>
                <w:color w:val="7030A0"/>
              </w:rPr>
            </w:pPr>
          </w:p>
          <w:p w:rsidR="001424E5" w:rsidRDefault="001424E5">
            <w:pPr>
              <w:rPr>
                <w:rFonts w:ascii="Tahoma" w:hAnsi="Tahoma" w:cs="Tahoma"/>
              </w:rPr>
            </w:pPr>
            <w:r w:rsidRPr="001424E5">
              <w:rPr>
                <w:rFonts w:ascii="Tahoma" w:hAnsi="Tahoma" w:cs="Tahoma"/>
              </w:rPr>
              <w:t>Views expressed at the conference will inform the response that the NHC and SEP will make to any consultation on behalf of its Membership.</w:t>
            </w:r>
          </w:p>
          <w:p w:rsidR="001424E5" w:rsidRDefault="001424E5">
            <w:pPr>
              <w:rPr>
                <w:rFonts w:ascii="Tahoma" w:hAnsi="Tahoma" w:cs="Tahoma"/>
              </w:rPr>
            </w:pPr>
          </w:p>
          <w:p w:rsidR="001424E5" w:rsidRPr="001424E5" w:rsidRDefault="001424E5">
            <w:pPr>
              <w:rPr>
                <w:rFonts w:ascii="Tahoma" w:hAnsi="Tahoma" w:cs="Tahoma"/>
              </w:rPr>
            </w:pPr>
          </w:p>
          <w:p w:rsidR="001424E5" w:rsidRPr="001424E5" w:rsidRDefault="001424E5">
            <w:pPr>
              <w:pStyle w:val="NoSpacing"/>
              <w:jc w:val="both"/>
              <w:rPr>
                <w:rFonts w:ascii="Tahoma" w:hAnsi="Tahoma" w:cs="Tahoma"/>
                <w:b/>
                <w:bCs/>
                <w:sz w:val="22"/>
                <w:szCs w:val="22"/>
              </w:rPr>
            </w:pPr>
            <w:r w:rsidRPr="001424E5">
              <w:rPr>
                <w:rFonts w:ascii="Tahoma" w:hAnsi="Tahoma" w:cs="Tahoma"/>
                <w:b/>
                <w:bCs/>
                <w:sz w:val="22"/>
                <w:szCs w:val="22"/>
              </w:rPr>
              <w:t>Who should attend?</w:t>
            </w:r>
          </w:p>
          <w:p w:rsidR="001424E5" w:rsidRDefault="001424E5">
            <w:pPr>
              <w:jc w:val="both"/>
              <w:rPr>
                <w:rFonts w:ascii="Tahoma" w:hAnsi="Tahoma" w:cs="Tahoma"/>
              </w:rPr>
            </w:pPr>
            <w:r w:rsidRPr="001424E5">
              <w:rPr>
                <w:rFonts w:ascii="Tahoma" w:hAnsi="Tahoma" w:cs="Tahoma"/>
              </w:rPr>
              <w:t>Any tenant or landlord interested in staying ahead of the new agenda; tenants and leaseholders; Directors of Housing &amp; Repairs; Policy, Improvement and Performance Managers; Community and Tenant Involvement Managers</w:t>
            </w:r>
          </w:p>
          <w:p w:rsidR="001424E5" w:rsidRPr="001424E5" w:rsidRDefault="001424E5">
            <w:pPr>
              <w:jc w:val="both"/>
              <w:rPr>
                <w:rFonts w:ascii="Tahoma" w:hAnsi="Tahoma" w:cs="Tahoma"/>
              </w:rPr>
            </w:pPr>
          </w:p>
          <w:p w:rsidR="001424E5" w:rsidRPr="001424E5" w:rsidRDefault="001424E5">
            <w:pPr>
              <w:jc w:val="both"/>
              <w:rPr>
                <w:rFonts w:ascii="Tahoma" w:hAnsi="Tahoma" w:cs="Tahoma"/>
              </w:rPr>
            </w:pPr>
          </w:p>
          <w:p w:rsidR="001424E5" w:rsidRPr="001424E5" w:rsidRDefault="001424E5">
            <w:pPr>
              <w:pStyle w:val="NoSpacing"/>
              <w:jc w:val="both"/>
              <w:rPr>
                <w:rFonts w:ascii="Tahoma" w:hAnsi="Tahoma" w:cs="Tahoma"/>
                <w:b/>
                <w:bCs/>
                <w:sz w:val="22"/>
                <w:szCs w:val="22"/>
              </w:rPr>
            </w:pPr>
            <w:r w:rsidRPr="001424E5">
              <w:rPr>
                <w:rFonts w:ascii="Tahoma" w:hAnsi="Tahoma" w:cs="Tahoma"/>
                <w:b/>
                <w:bCs/>
                <w:sz w:val="22"/>
                <w:szCs w:val="22"/>
              </w:rPr>
              <w:t>Continuing Professional Development</w:t>
            </w:r>
          </w:p>
          <w:p w:rsidR="001424E5" w:rsidRPr="001424E5" w:rsidRDefault="001424E5">
            <w:pPr>
              <w:pStyle w:val="NoSpacing"/>
              <w:jc w:val="both"/>
              <w:rPr>
                <w:rFonts w:ascii="Tahoma" w:hAnsi="Tahoma" w:cs="Tahoma"/>
                <w:sz w:val="22"/>
                <w:szCs w:val="22"/>
              </w:rPr>
            </w:pPr>
            <w:r w:rsidRPr="001424E5">
              <w:rPr>
                <w:rFonts w:ascii="Tahoma" w:hAnsi="Tahoma" w:cs="Tahoma"/>
                <w:sz w:val="22"/>
                <w:szCs w:val="22"/>
              </w:rPr>
              <w:t>Delegates will be able to record 4 Continuing Professional Development hours for attending this conference.</w:t>
            </w:r>
          </w:p>
          <w:p w:rsidR="001424E5" w:rsidRPr="001424E5" w:rsidRDefault="001424E5">
            <w:pPr>
              <w:pStyle w:val="NoSpacing"/>
              <w:jc w:val="both"/>
              <w:rPr>
                <w:rFonts w:ascii="Tahoma" w:hAnsi="Tahoma" w:cs="Tahoma"/>
                <w:sz w:val="22"/>
                <w:szCs w:val="22"/>
              </w:rPr>
            </w:pPr>
          </w:p>
          <w:p w:rsidR="001424E5" w:rsidRPr="001424E5" w:rsidRDefault="001424E5">
            <w:pPr>
              <w:pStyle w:val="NoSpacing"/>
              <w:rPr>
                <w:rFonts w:ascii="Tahoma" w:hAnsi="Tahoma" w:cs="Tahoma"/>
                <w:b/>
                <w:bCs/>
                <w:sz w:val="22"/>
                <w:szCs w:val="22"/>
              </w:rPr>
            </w:pPr>
          </w:p>
          <w:p w:rsidR="001424E5" w:rsidRPr="001424E5" w:rsidRDefault="001424E5">
            <w:pPr>
              <w:pStyle w:val="NoSpacing"/>
              <w:jc w:val="center"/>
              <w:rPr>
                <w:rFonts w:ascii="Tahoma" w:hAnsi="Tahoma" w:cs="Tahoma"/>
                <w:b/>
                <w:bCs/>
                <w:sz w:val="22"/>
                <w:szCs w:val="22"/>
              </w:rPr>
            </w:pPr>
            <w:r w:rsidRPr="001424E5">
              <w:rPr>
                <w:rFonts w:ascii="Tahoma" w:hAnsi="Tahoma" w:cs="Tahoma"/>
                <w:b/>
                <w:bCs/>
                <w:sz w:val="22"/>
                <w:szCs w:val="22"/>
              </w:rPr>
              <w:t>Registration: 9.30am; Start: 10.00am; Finish: 4.30pm*</w:t>
            </w:r>
          </w:p>
          <w:p w:rsidR="001424E5" w:rsidRPr="001424E5" w:rsidRDefault="001424E5">
            <w:pPr>
              <w:pStyle w:val="NoSpacing"/>
              <w:jc w:val="center"/>
              <w:rPr>
                <w:rFonts w:ascii="Tahoma" w:hAnsi="Tahoma" w:cs="Tahoma"/>
                <w:sz w:val="22"/>
                <w:szCs w:val="22"/>
                <w:highlight w:val="yellow"/>
              </w:rPr>
            </w:pPr>
          </w:p>
          <w:p w:rsidR="001424E5" w:rsidRPr="001424E5" w:rsidRDefault="001424E5">
            <w:pPr>
              <w:pStyle w:val="NoSpacing"/>
              <w:ind w:left="360"/>
              <w:rPr>
                <w:rFonts w:ascii="Tahoma" w:hAnsi="Tahoma" w:cs="Tahoma"/>
                <w:sz w:val="22"/>
                <w:szCs w:val="22"/>
              </w:rPr>
            </w:pPr>
            <w:r w:rsidRPr="001424E5">
              <w:rPr>
                <w:rFonts w:ascii="Tahoma" w:hAnsi="Tahoma" w:cs="Tahoma"/>
                <w:b/>
                <w:bCs/>
                <w:sz w:val="22"/>
                <w:szCs w:val="22"/>
              </w:rPr>
              <w:t xml:space="preserve">*Please note: </w:t>
            </w:r>
            <w:r w:rsidRPr="001424E5">
              <w:rPr>
                <w:rFonts w:ascii="Tahoma" w:hAnsi="Tahoma" w:cs="Tahoma"/>
                <w:sz w:val="22"/>
                <w:szCs w:val="22"/>
              </w:rPr>
              <w:t>whilst we will endeavour to keep to these timings, they may alter slightly when our full programme is finalised.</w:t>
            </w:r>
          </w:p>
          <w:p w:rsidR="001424E5" w:rsidRPr="001424E5" w:rsidRDefault="001424E5">
            <w:pPr>
              <w:pStyle w:val="NoSpacing"/>
              <w:ind w:left="360"/>
              <w:rPr>
                <w:rFonts w:ascii="Tahoma" w:hAnsi="Tahoma" w:cs="Tahoma"/>
                <w:sz w:val="22"/>
                <w:szCs w:val="22"/>
              </w:rPr>
            </w:pPr>
          </w:p>
          <w:p w:rsidR="001424E5" w:rsidRPr="001424E5" w:rsidRDefault="001424E5">
            <w:pPr>
              <w:pStyle w:val="NoSpacing"/>
              <w:ind w:left="360"/>
              <w:jc w:val="center"/>
              <w:rPr>
                <w:rFonts w:ascii="Tahoma" w:hAnsi="Tahoma" w:cs="Tahoma"/>
                <w:b/>
                <w:bCs/>
                <w:sz w:val="22"/>
                <w:szCs w:val="22"/>
              </w:rPr>
            </w:pPr>
            <w:r w:rsidRPr="001424E5">
              <w:rPr>
                <w:rFonts w:ascii="Tahoma" w:hAnsi="Tahoma" w:cs="Tahoma"/>
                <w:b/>
                <w:bCs/>
                <w:sz w:val="22"/>
                <w:szCs w:val="22"/>
              </w:rPr>
              <w:t>Delegate Fees:</w:t>
            </w:r>
          </w:p>
          <w:p w:rsidR="001424E5" w:rsidRPr="001424E5" w:rsidRDefault="001424E5">
            <w:pPr>
              <w:pStyle w:val="NoSpacing"/>
              <w:ind w:left="360"/>
              <w:jc w:val="center"/>
              <w:rPr>
                <w:rFonts w:ascii="Tahoma" w:hAnsi="Tahoma" w:cs="Tahoma"/>
                <w:b/>
                <w:bCs/>
                <w:sz w:val="22"/>
                <w:szCs w:val="22"/>
              </w:rPr>
            </w:pPr>
          </w:p>
          <w:p w:rsidR="001424E5" w:rsidRPr="001424E5" w:rsidRDefault="001424E5">
            <w:pPr>
              <w:pStyle w:val="NoSpacing"/>
              <w:ind w:left="360"/>
              <w:jc w:val="center"/>
              <w:rPr>
                <w:rFonts w:ascii="Tahoma" w:hAnsi="Tahoma" w:cs="Tahoma"/>
                <w:b/>
                <w:bCs/>
                <w:sz w:val="22"/>
                <w:szCs w:val="22"/>
              </w:rPr>
            </w:pPr>
            <w:r w:rsidRPr="001424E5">
              <w:rPr>
                <w:rFonts w:ascii="Tahoma" w:hAnsi="Tahoma" w:cs="Tahoma"/>
                <w:b/>
                <w:bCs/>
                <w:sz w:val="22"/>
                <w:szCs w:val="22"/>
              </w:rPr>
              <w:t xml:space="preserve">£99 +vat </w:t>
            </w:r>
            <w:r w:rsidRPr="001424E5">
              <w:rPr>
                <w:rFonts w:ascii="Tahoma" w:hAnsi="Tahoma" w:cs="Tahoma"/>
                <w:sz w:val="22"/>
                <w:szCs w:val="22"/>
              </w:rPr>
              <w:t>(All Tenants)</w:t>
            </w:r>
          </w:p>
          <w:p w:rsidR="001424E5" w:rsidRPr="001424E5" w:rsidRDefault="001424E5">
            <w:pPr>
              <w:pStyle w:val="NoSpacing"/>
              <w:ind w:left="360"/>
              <w:jc w:val="center"/>
              <w:rPr>
                <w:rFonts w:ascii="Tahoma" w:hAnsi="Tahoma" w:cs="Tahoma"/>
                <w:b/>
                <w:bCs/>
                <w:sz w:val="22"/>
                <w:szCs w:val="22"/>
              </w:rPr>
            </w:pPr>
            <w:r w:rsidRPr="001424E5">
              <w:rPr>
                <w:rFonts w:ascii="Tahoma" w:hAnsi="Tahoma" w:cs="Tahoma"/>
                <w:b/>
                <w:bCs/>
                <w:sz w:val="22"/>
                <w:szCs w:val="22"/>
              </w:rPr>
              <w:t xml:space="preserve">£149 +vat </w:t>
            </w:r>
            <w:r w:rsidRPr="001424E5">
              <w:rPr>
                <w:rFonts w:ascii="Tahoma" w:hAnsi="Tahoma" w:cs="Tahoma"/>
                <w:sz w:val="22"/>
                <w:szCs w:val="22"/>
              </w:rPr>
              <w:t>(NHC and SEP Officer Members)</w:t>
            </w:r>
          </w:p>
          <w:p w:rsidR="001424E5" w:rsidRPr="001424E5" w:rsidRDefault="001424E5">
            <w:pPr>
              <w:pStyle w:val="NoSpacing"/>
              <w:ind w:left="360"/>
              <w:jc w:val="center"/>
              <w:rPr>
                <w:rFonts w:ascii="Tahoma" w:hAnsi="Tahoma" w:cs="Tahoma"/>
                <w:b/>
                <w:bCs/>
                <w:sz w:val="22"/>
                <w:szCs w:val="22"/>
              </w:rPr>
            </w:pPr>
            <w:r w:rsidRPr="001424E5">
              <w:rPr>
                <w:rFonts w:ascii="Tahoma" w:hAnsi="Tahoma" w:cs="Tahoma"/>
                <w:b/>
                <w:bCs/>
                <w:sz w:val="22"/>
                <w:szCs w:val="22"/>
              </w:rPr>
              <w:t xml:space="preserve">£179 + vat </w:t>
            </w:r>
            <w:r w:rsidRPr="001424E5">
              <w:rPr>
                <w:rFonts w:ascii="Tahoma" w:hAnsi="Tahoma" w:cs="Tahoma"/>
                <w:sz w:val="22"/>
                <w:szCs w:val="22"/>
              </w:rPr>
              <w:t>(Non Members)</w:t>
            </w:r>
          </w:p>
          <w:p w:rsidR="001424E5" w:rsidRDefault="001424E5">
            <w:pPr>
              <w:pStyle w:val="NoSpacing"/>
              <w:ind w:left="360"/>
              <w:jc w:val="center"/>
              <w:rPr>
                <w:b/>
                <w:bCs/>
                <w:sz w:val="20"/>
                <w:szCs w:val="20"/>
              </w:rPr>
            </w:pPr>
            <w:r>
              <w:rPr>
                <w:noProof/>
              </w:rPr>
              <mc:AlternateContent>
                <mc:Choice Requires="wps">
                  <w:drawing>
                    <wp:anchor distT="0" distB="0" distL="114300" distR="114300" simplePos="0" relativeHeight="251658752" behindDoc="0" locked="0" layoutInCell="1" allowOverlap="1">
                      <wp:simplePos x="0" y="0"/>
                      <wp:positionH relativeFrom="column">
                        <wp:posOffset>118745</wp:posOffset>
                      </wp:positionH>
                      <wp:positionV relativeFrom="paragraph">
                        <wp:posOffset>90805</wp:posOffset>
                      </wp:positionV>
                      <wp:extent cx="5293995" cy="371475"/>
                      <wp:effectExtent l="19050" t="19050" r="40005" b="66675"/>
                      <wp:wrapNone/>
                      <wp:docPr id="1" name="Rounded Rectangle 1">
                        <a:hlinkClick xmlns:a="http://schemas.openxmlformats.org/drawingml/2006/main" r:id="rId8"/>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93995" cy="371475"/>
                              </a:xfrm>
                              <a:prstGeom prst="roundRect">
                                <a:avLst>
                                  <a:gd name="adj" fmla="val 16667"/>
                                </a:avLst>
                              </a:prstGeom>
                              <a:solidFill>
                                <a:srgbClr val="FF6600"/>
                              </a:solidFill>
                              <a:ln w="38100">
                                <a:solidFill>
                                  <a:srgbClr val="F2F2F2"/>
                                </a:solidFill>
                                <a:round/>
                                <a:headEnd/>
                                <a:tailEnd/>
                              </a:ln>
                              <a:effectLst>
                                <a:outerShdw dist="28398" dir="3806097" algn="ctr" rotWithShape="0">
                                  <a:srgbClr val="974706">
                                    <a:alpha val="50000"/>
                                  </a:srgbClr>
                                </a:outerShdw>
                              </a:effectLst>
                            </wps:spPr>
                            <wps:txbx>
                              <w:txbxContent>
                                <w:p w:rsidR="001424E5" w:rsidRDefault="001424E5" w:rsidP="001424E5">
                                  <w:pPr>
                                    <w:jc w:val="center"/>
                                    <w:rPr>
                                      <w:b/>
                                      <w:bCs/>
                                      <w:color w:val="FFFFFF"/>
                                      <w:sz w:val="32"/>
                                      <w:szCs w:val="32"/>
                                    </w:rPr>
                                  </w:pPr>
                                  <w:r w:rsidRPr="006D2B8C">
                                    <w:rPr>
                                      <w:b/>
                                      <w:bCs/>
                                      <w:color w:val="FFFFFF"/>
                                      <w:sz w:val="24"/>
                                      <w:szCs w:val="24"/>
                                    </w:rPr>
                                    <w:t xml:space="preserve">To book your </w:t>
                                  </w:r>
                                  <w:r w:rsidR="00382B54" w:rsidRPr="006D2B8C">
                                    <w:rPr>
                                      <w:b/>
                                      <w:bCs/>
                                      <w:color w:val="FFFFFF"/>
                                      <w:sz w:val="24"/>
                                      <w:szCs w:val="24"/>
                                    </w:rPr>
                                    <w:t>places at this event please fill</w:t>
                                  </w:r>
                                  <w:r w:rsidR="006D2B8C" w:rsidRPr="006D2B8C">
                                    <w:rPr>
                                      <w:b/>
                                      <w:bCs/>
                                      <w:color w:val="FFFFFF"/>
                                      <w:sz w:val="24"/>
                                      <w:szCs w:val="24"/>
                                    </w:rPr>
                                    <w:t xml:space="preserve"> in the </w:t>
                                  </w:r>
                                  <w:r w:rsidR="00382B54">
                                    <w:rPr>
                                      <w:b/>
                                      <w:bCs/>
                                      <w:color w:val="FFFFFF"/>
                                    </w:rPr>
                                    <w:t>attached</w:t>
                                  </w:r>
                                  <w:r w:rsidR="006D2B8C">
                                    <w:rPr>
                                      <w:b/>
                                      <w:bCs/>
                                      <w:color w:val="FFFFFF"/>
                                    </w:rPr>
                                    <w:t xml:space="preserve"> form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1" o:spid="_x0000_s1026" href="http://www.northern-consortium.org.uk/Page/Events/1stannualtenantpanelconference.aspx" style="position:absolute;left:0;text-align:left;margin-left:9.35pt;margin-top:7.15pt;width:416.85pt;height:29.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" o:button="t" fillcolor="#f60" strokecolor="#f2f2f2" strokeweight="3pt">
                      <v:fill o:detectmouseclick="t"/>
                      <v:shadow on="t" color="#974706" opacity=".5" offset="1pt"/>
                      <v:textbox>
                        <w:txbxContent>
                          <w:p w:rsidR="001424E5" w:rsidRDefault="001424E5" w:rsidP="001424E5">
                            <w:pPr>
                              <w:jc w:val="center"/>
                              <w:rPr>
                                <w:b/>
                                <w:bCs/>
                                <w:color w:val="FFFFFF"/>
                                <w:sz w:val="32"/>
                                <w:szCs w:val="32"/>
                              </w:rPr>
                            </w:pPr>
                            <w:r w:rsidRPr="006D2B8C">
                              <w:rPr>
                                <w:b/>
                                <w:bCs/>
                                <w:color w:val="FFFFFF"/>
                                <w:sz w:val="24"/>
                                <w:szCs w:val="24"/>
                              </w:rPr>
                              <w:t xml:space="preserve">To book your </w:t>
                            </w:r>
                            <w:r w:rsidR="00382B54" w:rsidRPr="006D2B8C">
                              <w:rPr>
                                <w:b/>
                                <w:bCs/>
                                <w:color w:val="FFFFFF"/>
                                <w:sz w:val="24"/>
                                <w:szCs w:val="24"/>
                              </w:rPr>
                              <w:t>places at this event please fill</w:t>
                            </w:r>
                            <w:r w:rsidR="006D2B8C" w:rsidRPr="006D2B8C">
                              <w:rPr>
                                <w:b/>
                                <w:bCs/>
                                <w:color w:val="FFFFFF"/>
                                <w:sz w:val="24"/>
                                <w:szCs w:val="24"/>
                              </w:rPr>
                              <w:t xml:space="preserve"> in the </w:t>
                            </w:r>
                            <w:r w:rsidR="00382B54">
                              <w:rPr>
                                <w:b/>
                                <w:bCs/>
                                <w:color w:val="FFFFFF"/>
                              </w:rPr>
                              <w:t>attached</w:t>
                            </w:r>
                            <w:r w:rsidR="006D2B8C">
                              <w:rPr>
                                <w:b/>
                                <w:bCs/>
                                <w:color w:val="FFFFFF"/>
                              </w:rPr>
                              <w:t xml:space="preserve"> form</w:t>
                            </w:r>
                          </w:p>
                        </w:txbxContent>
                      </v:textbox>
                    </v:roundrect>
                  </w:pict>
                </mc:Fallback>
              </mc:AlternateContent>
            </w:r>
          </w:p>
          <w:p w:rsidR="001424E5" w:rsidRDefault="001424E5">
            <w:pPr>
              <w:pStyle w:val="NoSpacing"/>
              <w:ind w:left="360"/>
              <w:jc w:val="center"/>
              <w:rPr>
                <w:b/>
                <w:bCs/>
                <w:sz w:val="20"/>
                <w:szCs w:val="20"/>
              </w:rPr>
            </w:pPr>
          </w:p>
          <w:p w:rsidR="001424E5" w:rsidRDefault="001424E5" w:rsidP="006D2B8C">
            <w:pPr>
              <w:pStyle w:val="NoSpacing"/>
            </w:pPr>
          </w:p>
        </w:tc>
        <w:tc>
          <w:tcPr>
            <w:tcW w:w="290" w:type="dxa"/>
            <w:tcBorders>
              <w:top w:val="single" w:sz="12" w:space="0" w:color="FF6600"/>
              <w:left w:val="nil"/>
              <w:bottom w:val="single" w:sz="12" w:space="0" w:color="FF6600"/>
              <w:right w:val="single" w:sz="12" w:space="0" w:color="FF6600"/>
            </w:tcBorders>
            <w:shd w:val="clear" w:color="auto" w:fill="FFFFFF"/>
            <w:tcMar>
              <w:top w:w="0" w:type="dxa"/>
              <w:left w:w="108" w:type="dxa"/>
              <w:bottom w:w="0" w:type="dxa"/>
              <w:right w:w="108" w:type="dxa"/>
            </w:tcMar>
          </w:tcPr>
          <w:p w:rsidR="001424E5" w:rsidRDefault="001424E5">
            <w:pPr>
              <w:pStyle w:val="NoSpacing"/>
              <w:rPr>
                <w:b/>
                <w:bCs/>
                <w:color w:val="1F497D"/>
                <w:sz w:val="28"/>
                <w:szCs w:val="28"/>
              </w:rPr>
            </w:pPr>
          </w:p>
        </w:tc>
      </w:tr>
      <w:tr w:rsidR="001424E5" w:rsidTr="001424E5">
        <w:trPr>
          <w:jc w:val="center"/>
        </w:trPr>
        <w:tc>
          <w:tcPr>
            <w:tcW w:w="290" w:type="dxa"/>
            <w:tcBorders>
              <w:top w:val="nil"/>
              <w:left w:val="single" w:sz="12" w:space="0" w:color="FF6600"/>
              <w:bottom w:val="single" w:sz="12" w:space="0" w:color="FF6600"/>
              <w:right w:val="single" w:sz="12" w:space="0" w:color="FF6600"/>
            </w:tcBorders>
            <w:shd w:val="clear" w:color="auto" w:fill="FFFFFF"/>
            <w:tcMar>
              <w:top w:w="0" w:type="dxa"/>
              <w:left w:w="108" w:type="dxa"/>
              <w:bottom w:w="0" w:type="dxa"/>
              <w:right w:w="108" w:type="dxa"/>
            </w:tcMar>
          </w:tcPr>
          <w:p w:rsidR="001424E5" w:rsidRDefault="001424E5">
            <w:pPr>
              <w:pStyle w:val="NoSpacing"/>
              <w:jc w:val="center"/>
              <w:rPr>
                <w:b/>
                <w:bCs/>
                <w:color w:val="1F497D"/>
                <w:sz w:val="28"/>
                <w:szCs w:val="28"/>
              </w:rPr>
            </w:pPr>
          </w:p>
        </w:tc>
        <w:tc>
          <w:tcPr>
            <w:tcW w:w="8888" w:type="dxa"/>
            <w:tcBorders>
              <w:top w:val="nil"/>
              <w:left w:val="nil"/>
              <w:bottom w:val="single" w:sz="12" w:space="0" w:color="FF6600"/>
              <w:right w:val="single" w:sz="12" w:space="0" w:color="FF6600"/>
            </w:tcBorders>
            <w:shd w:val="clear" w:color="auto" w:fill="FFFFFF"/>
            <w:tcMar>
              <w:top w:w="0" w:type="dxa"/>
              <w:left w:w="108" w:type="dxa"/>
              <w:bottom w:w="0" w:type="dxa"/>
              <w:right w:w="108" w:type="dxa"/>
            </w:tcMar>
          </w:tcPr>
          <w:p w:rsidR="001424E5" w:rsidRDefault="001424E5">
            <w:pPr>
              <w:pStyle w:val="NoSpacing"/>
            </w:pPr>
          </w:p>
        </w:tc>
        <w:tc>
          <w:tcPr>
            <w:tcW w:w="290" w:type="dxa"/>
            <w:tcBorders>
              <w:top w:val="nil"/>
              <w:left w:val="nil"/>
              <w:bottom w:val="single" w:sz="12" w:space="0" w:color="FF6600"/>
              <w:right w:val="single" w:sz="12" w:space="0" w:color="FF6600"/>
            </w:tcBorders>
            <w:shd w:val="clear" w:color="auto" w:fill="FFFFFF"/>
            <w:tcMar>
              <w:top w:w="0" w:type="dxa"/>
              <w:left w:w="108" w:type="dxa"/>
              <w:bottom w:w="0" w:type="dxa"/>
              <w:right w:w="108" w:type="dxa"/>
            </w:tcMar>
          </w:tcPr>
          <w:p w:rsidR="001424E5" w:rsidRDefault="001424E5">
            <w:pPr>
              <w:pStyle w:val="NoSpacing"/>
              <w:rPr>
                <w:b/>
                <w:bCs/>
                <w:color w:val="1F497D"/>
                <w:sz w:val="28"/>
                <w:szCs w:val="28"/>
              </w:rPr>
            </w:pPr>
          </w:p>
        </w:tc>
      </w:tr>
    </w:tbl>
    <w:p w:rsidR="001424E5" w:rsidRDefault="001424E5" w:rsidP="001424E5">
      <w:pPr>
        <w:rPr>
          <w:rFonts w:ascii="Arial" w:hAnsi="Arial" w:cs="Arial"/>
          <w:sz w:val="20"/>
          <w:szCs w:val="20"/>
        </w:rPr>
      </w:pPr>
    </w:p>
    <w:p w:rsidR="001424E5" w:rsidRDefault="001424E5" w:rsidP="001424E5">
      <w:pPr>
        <w:rPr>
          <w:rFonts w:ascii="Arial" w:hAnsi="Arial" w:cs="Arial"/>
          <w:sz w:val="20"/>
          <w:szCs w:val="20"/>
        </w:rPr>
      </w:pPr>
    </w:p>
    <w:p w:rsidR="006D2B8C" w:rsidRDefault="006D2B8C" w:rsidP="001424E5">
      <w:pPr>
        <w:rPr>
          <w:rFonts w:ascii="Arial" w:hAnsi="Arial" w:cs="Arial"/>
          <w:sz w:val="20"/>
          <w:szCs w:val="20"/>
        </w:rPr>
      </w:pPr>
    </w:p>
    <w:p w:rsidR="006D2B8C" w:rsidRDefault="006D2B8C" w:rsidP="001424E5">
      <w:pPr>
        <w:rPr>
          <w:rFonts w:ascii="Arial" w:hAnsi="Arial" w:cs="Arial"/>
          <w:sz w:val="20"/>
          <w:szCs w:val="20"/>
        </w:rPr>
      </w:pPr>
    </w:p>
    <w:p w:rsidR="006D2B8C" w:rsidRDefault="006D2B8C" w:rsidP="001424E5">
      <w:pPr>
        <w:rPr>
          <w:rFonts w:ascii="Arial" w:hAnsi="Arial" w:cs="Arial"/>
          <w:sz w:val="20"/>
          <w:szCs w:val="20"/>
        </w:rPr>
      </w:pPr>
    </w:p>
    <w:p w:rsidR="006D2B8C" w:rsidRDefault="006D2B8C" w:rsidP="001424E5">
      <w:pPr>
        <w:rPr>
          <w:rFonts w:ascii="Arial" w:hAnsi="Arial" w:cs="Arial"/>
          <w:sz w:val="20"/>
          <w:szCs w:val="20"/>
        </w:rPr>
      </w:pPr>
    </w:p>
    <w:p w:rsidR="006D2B8C" w:rsidRDefault="006D2B8C" w:rsidP="001424E5">
      <w:pPr>
        <w:rPr>
          <w:rFonts w:ascii="Arial" w:hAnsi="Arial" w:cs="Arial"/>
          <w:sz w:val="20"/>
          <w:szCs w:val="20"/>
        </w:rPr>
      </w:pPr>
    </w:p>
    <w:p w:rsidR="006D2B8C" w:rsidRDefault="006D2B8C" w:rsidP="001424E5">
      <w:pPr>
        <w:rPr>
          <w:rFonts w:ascii="Arial" w:hAnsi="Arial" w:cs="Arial"/>
          <w:sz w:val="20"/>
          <w:szCs w:val="20"/>
        </w:rPr>
      </w:pPr>
    </w:p>
    <w:p w:rsidR="006D2B8C" w:rsidRDefault="006D2B8C" w:rsidP="001424E5">
      <w:pPr>
        <w:rPr>
          <w:rFonts w:ascii="Arial" w:hAnsi="Arial" w:cs="Arial"/>
          <w:sz w:val="20"/>
          <w:szCs w:val="20"/>
        </w:rPr>
      </w:pPr>
    </w:p>
    <w:p w:rsidR="006D2B8C" w:rsidRDefault="006D2B8C" w:rsidP="001424E5">
      <w:pPr>
        <w:rPr>
          <w:rFonts w:ascii="Arial" w:hAnsi="Arial" w:cs="Arial"/>
          <w:sz w:val="20"/>
          <w:szCs w:val="20"/>
        </w:rPr>
      </w:pPr>
    </w:p>
    <w:p w:rsidR="006D2B8C" w:rsidRDefault="006D2B8C" w:rsidP="001424E5">
      <w:pPr>
        <w:rPr>
          <w:rFonts w:ascii="Arial" w:hAnsi="Arial" w:cs="Arial"/>
          <w:sz w:val="20"/>
          <w:szCs w:val="20"/>
        </w:rPr>
      </w:pPr>
    </w:p>
    <w:p w:rsidR="006D2B8C" w:rsidRDefault="006D2B8C" w:rsidP="001424E5">
      <w:pPr>
        <w:rPr>
          <w:rFonts w:ascii="Arial" w:hAnsi="Arial" w:cs="Arial"/>
          <w:sz w:val="20"/>
          <w:szCs w:val="20"/>
        </w:rPr>
      </w:pPr>
    </w:p>
    <w:p w:rsidR="006D2B8C" w:rsidRDefault="006D2B8C" w:rsidP="001424E5">
      <w:pPr>
        <w:rPr>
          <w:rFonts w:ascii="Arial" w:hAnsi="Arial" w:cs="Arial"/>
          <w:sz w:val="20"/>
          <w:szCs w:val="20"/>
        </w:rPr>
      </w:pPr>
    </w:p>
    <w:p w:rsidR="006D2B8C" w:rsidRDefault="006D2B8C" w:rsidP="001424E5">
      <w:pPr>
        <w:rPr>
          <w:rFonts w:ascii="Arial" w:hAnsi="Arial" w:cs="Arial"/>
          <w:sz w:val="20"/>
          <w:szCs w:val="20"/>
        </w:rPr>
      </w:pPr>
    </w:p>
    <w:p w:rsidR="006D2B8C" w:rsidRDefault="006D2B8C" w:rsidP="001424E5">
      <w:pPr>
        <w:rPr>
          <w:rFonts w:ascii="Arial" w:hAnsi="Arial" w:cs="Arial"/>
          <w:sz w:val="20"/>
          <w:szCs w:val="20"/>
        </w:rPr>
      </w:pPr>
    </w:p>
    <w:p w:rsidR="006D2B8C" w:rsidRDefault="006D2B8C" w:rsidP="001424E5">
      <w:pPr>
        <w:rPr>
          <w:rFonts w:ascii="Arial" w:hAnsi="Arial" w:cs="Arial"/>
          <w:sz w:val="20"/>
          <w:szCs w:val="20"/>
        </w:rPr>
      </w:pPr>
    </w:p>
    <w:p w:rsidR="006D2B8C" w:rsidRDefault="006D2B8C" w:rsidP="001424E5">
      <w:pPr>
        <w:rPr>
          <w:rFonts w:ascii="Arial" w:hAnsi="Arial" w:cs="Arial"/>
          <w:sz w:val="20"/>
          <w:szCs w:val="20"/>
        </w:rPr>
      </w:pPr>
    </w:p>
    <w:p w:rsidR="006D2B8C" w:rsidRDefault="006D2B8C" w:rsidP="001424E5">
      <w:pPr>
        <w:rPr>
          <w:rFonts w:ascii="Arial" w:hAnsi="Arial" w:cs="Arial"/>
          <w:sz w:val="20"/>
          <w:szCs w:val="20"/>
        </w:rPr>
      </w:pPr>
    </w:p>
    <w:p w:rsidR="006D2B8C" w:rsidRDefault="006D2B8C" w:rsidP="001424E5">
      <w:pPr>
        <w:rPr>
          <w:rFonts w:ascii="Arial" w:hAnsi="Arial" w:cs="Arial"/>
          <w:sz w:val="20"/>
          <w:szCs w:val="20"/>
        </w:rPr>
      </w:pPr>
    </w:p>
    <w:p w:rsidR="006D2B8C" w:rsidRDefault="006D2B8C" w:rsidP="001424E5">
      <w:pPr>
        <w:rPr>
          <w:rFonts w:ascii="Arial" w:hAnsi="Arial" w:cs="Arial"/>
          <w:sz w:val="20"/>
          <w:szCs w:val="20"/>
        </w:rPr>
      </w:pPr>
    </w:p>
    <w:p w:rsidR="006D2B8C" w:rsidRDefault="006D2B8C" w:rsidP="001424E5">
      <w:pPr>
        <w:rPr>
          <w:rFonts w:ascii="Arial" w:hAnsi="Arial" w:cs="Arial"/>
          <w:sz w:val="20"/>
          <w:szCs w:val="20"/>
        </w:rPr>
      </w:pPr>
    </w:p>
    <w:p w:rsidR="006D2B8C" w:rsidRDefault="006D2B8C" w:rsidP="001424E5">
      <w:pPr>
        <w:rPr>
          <w:rFonts w:ascii="Arial" w:hAnsi="Arial" w:cs="Arial"/>
          <w:sz w:val="20"/>
          <w:szCs w:val="20"/>
        </w:rPr>
      </w:pPr>
    </w:p>
    <w:p w:rsidR="006D2B8C" w:rsidRDefault="006D2B8C" w:rsidP="001424E5">
      <w:pPr>
        <w:rPr>
          <w:rFonts w:ascii="Arial" w:hAnsi="Arial" w:cs="Arial"/>
          <w:sz w:val="20"/>
          <w:szCs w:val="20"/>
        </w:rPr>
      </w:pPr>
    </w:p>
    <w:p w:rsidR="006D2B8C" w:rsidRDefault="006D2B8C" w:rsidP="001424E5">
      <w:pPr>
        <w:rPr>
          <w:rFonts w:ascii="Arial" w:hAnsi="Arial" w:cs="Arial"/>
          <w:sz w:val="20"/>
          <w:szCs w:val="20"/>
        </w:rPr>
      </w:pPr>
    </w:p>
    <w:p w:rsidR="006D2B8C" w:rsidRDefault="006D2B8C" w:rsidP="001424E5">
      <w:pPr>
        <w:rPr>
          <w:rFonts w:ascii="Arial" w:hAnsi="Arial" w:cs="Arial"/>
          <w:sz w:val="20"/>
          <w:szCs w:val="20"/>
        </w:rPr>
      </w:pPr>
    </w:p>
    <w:p w:rsidR="006D2B8C" w:rsidRDefault="006D2B8C" w:rsidP="001424E5">
      <w:pPr>
        <w:rPr>
          <w:rFonts w:ascii="Arial" w:hAnsi="Arial" w:cs="Arial"/>
          <w:sz w:val="20"/>
          <w:szCs w:val="20"/>
        </w:rPr>
      </w:pPr>
    </w:p>
    <w:p w:rsidR="006D2B8C" w:rsidRDefault="006D2B8C" w:rsidP="001424E5">
      <w:pPr>
        <w:rPr>
          <w:rFonts w:ascii="Arial" w:hAnsi="Arial" w:cs="Arial"/>
          <w:sz w:val="20"/>
          <w:szCs w:val="20"/>
        </w:rPr>
      </w:pPr>
    </w:p>
    <w:p w:rsidR="006D2B8C" w:rsidRDefault="006D2B8C" w:rsidP="001424E5">
      <w:pPr>
        <w:rPr>
          <w:rFonts w:ascii="Arial" w:hAnsi="Arial" w:cs="Arial"/>
          <w:sz w:val="20"/>
          <w:szCs w:val="20"/>
        </w:rPr>
      </w:pPr>
    </w:p>
    <w:p w:rsidR="006D2B8C" w:rsidRDefault="006D2B8C" w:rsidP="001424E5">
      <w:pPr>
        <w:rPr>
          <w:rFonts w:ascii="Arial" w:hAnsi="Arial" w:cs="Arial"/>
          <w:sz w:val="20"/>
          <w:szCs w:val="20"/>
        </w:rPr>
      </w:pPr>
    </w:p>
    <w:p w:rsidR="006D2B8C" w:rsidRDefault="006D2B8C" w:rsidP="001424E5">
      <w:pPr>
        <w:rPr>
          <w:rFonts w:ascii="Arial" w:hAnsi="Arial" w:cs="Arial"/>
          <w:sz w:val="20"/>
          <w:szCs w:val="20"/>
        </w:rPr>
      </w:pPr>
    </w:p>
    <w:p w:rsidR="006D2B8C" w:rsidRDefault="006D2B8C" w:rsidP="001424E5">
      <w:pPr>
        <w:rPr>
          <w:rFonts w:ascii="Arial" w:hAnsi="Arial" w:cs="Arial"/>
          <w:sz w:val="20"/>
          <w:szCs w:val="20"/>
        </w:rPr>
      </w:pPr>
    </w:p>
    <w:p w:rsidR="006D2B8C" w:rsidRDefault="006D2B8C" w:rsidP="001424E5">
      <w:pPr>
        <w:rPr>
          <w:rFonts w:ascii="Arial" w:hAnsi="Arial" w:cs="Arial"/>
          <w:sz w:val="20"/>
          <w:szCs w:val="20"/>
        </w:rPr>
      </w:pPr>
    </w:p>
    <w:p w:rsidR="006D2B8C" w:rsidRDefault="006D2B8C" w:rsidP="001424E5">
      <w:pPr>
        <w:rPr>
          <w:rFonts w:ascii="Arial" w:hAnsi="Arial" w:cs="Arial"/>
          <w:sz w:val="20"/>
          <w:szCs w:val="20"/>
        </w:rPr>
      </w:pPr>
    </w:p>
    <w:p w:rsidR="006D2B8C" w:rsidRDefault="006D2B8C" w:rsidP="001424E5">
      <w:pPr>
        <w:rPr>
          <w:rFonts w:ascii="Arial" w:hAnsi="Arial" w:cs="Arial"/>
          <w:sz w:val="20"/>
          <w:szCs w:val="20"/>
        </w:rPr>
      </w:pPr>
    </w:p>
    <w:p w:rsidR="006D2B8C" w:rsidRDefault="006D2B8C" w:rsidP="001424E5">
      <w:pPr>
        <w:rPr>
          <w:rFonts w:ascii="Arial" w:hAnsi="Arial" w:cs="Arial"/>
          <w:sz w:val="20"/>
          <w:szCs w:val="20"/>
        </w:rPr>
      </w:pPr>
    </w:p>
    <w:p w:rsidR="006D2B8C" w:rsidRDefault="006D2B8C" w:rsidP="001424E5">
      <w:pPr>
        <w:rPr>
          <w:rFonts w:ascii="Arial" w:hAnsi="Arial" w:cs="Arial"/>
          <w:sz w:val="20"/>
          <w:szCs w:val="20"/>
        </w:rPr>
      </w:pPr>
    </w:p>
    <w:p w:rsidR="006D2B8C" w:rsidRDefault="006D2B8C" w:rsidP="001424E5">
      <w:pPr>
        <w:rPr>
          <w:rFonts w:ascii="Arial" w:hAnsi="Arial" w:cs="Arial"/>
          <w:sz w:val="20"/>
          <w:szCs w:val="20"/>
        </w:rPr>
      </w:pPr>
    </w:p>
    <w:p w:rsidR="006D2B8C" w:rsidRDefault="006D2B8C" w:rsidP="001424E5">
      <w:pPr>
        <w:rPr>
          <w:rFonts w:ascii="Arial" w:hAnsi="Arial" w:cs="Arial"/>
          <w:sz w:val="20"/>
          <w:szCs w:val="20"/>
        </w:rPr>
      </w:pPr>
    </w:p>
    <w:p w:rsidR="006D2B8C" w:rsidRDefault="006D2B8C" w:rsidP="001424E5">
      <w:pPr>
        <w:rPr>
          <w:rFonts w:ascii="Arial" w:hAnsi="Arial" w:cs="Arial"/>
          <w:sz w:val="20"/>
          <w:szCs w:val="20"/>
        </w:rPr>
      </w:pPr>
    </w:p>
    <w:p w:rsidR="00432BAA" w:rsidRDefault="006D2B8C" w:rsidP="00432BAA">
      <w:pPr>
        <w:jc w:val="right"/>
      </w:pPr>
      <w:r>
        <w:rPr>
          <w:noProof/>
        </w:rPr>
        <w:lastRenderedPageBreak/>
        <w:drawing>
          <wp:inline distT="0" distB="0" distL="0" distR="0" wp14:anchorId="233B9957" wp14:editId="40765B5F">
            <wp:extent cx="1905000" cy="542925"/>
            <wp:effectExtent l="0" t="0" r="0" b="9525"/>
            <wp:docPr id="4" name="Picture 4" descr="Description: New NHC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Description: New NHCLog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05000" cy="542925"/>
                    </a:xfrm>
                    <a:prstGeom prst="rect">
                      <a:avLst/>
                    </a:prstGeom>
                    <a:noFill/>
                    <a:ln>
                      <a:noFill/>
                    </a:ln>
                  </pic:spPr>
                </pic:pic>
              </a:graphicData>
            </a:graphic>
          </wp:inline>
        </w:drawing>
      </w:r>
      <w:r w:rsidR="00432BAA">
        <w:rPr>
          <w:noProof/>
        </w:rPr>
        <w:drawing>
          <wp:anchor distT="0" distB="0" distL="114300" distR="114300" simplePos="0" relativeHeight="251660800" behindDoc="0" locked="0" layoutInCell="1" allowOverlap="1" wp14:anchorId="6A112697" wp14:editId="2F026A90">
            <wp:simplePos x="0" y="0"/>
            <wp:positionH relativeFrom="margin">
              <wp:posOffset>-314325</wp:posOffset>
            </wp:positionH>
            <wp:positionV relativeFrom="margin">
              <wp:posOffset>-203835</wp:posOffset>
            </wp:positionV>
            <wp:extent cx="1552575" cy="791845"/>
            <wp:effectExtent l="0" t="0" r="9525" b="825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52575" cy="791845"/>
                    </a:xfrm>
                    <a:prstGeom prst="rect">
                      <a:avLst/>
                    </a:prstGeom>
                    <a:noFill/>
                  </pic:spPr>
                </pic:pic>
              </a:graphicData>
            </a:graphic>
            <wp14:sizeRelH relativeFrom="margin">
              <wp14:pctWidth>0</wp14:pctWidth>
            </wp14:sizeRelH>
            <wp14:sizeRelV relativeFrom="margin">
              <wp14:pctHeight>0</wp14:pctHeight>
            </wp14:sizeRelV>
          </wp:anchor>
        </w:drawing>
      </w:r>
    </w:p>
    <w:p w:rsidR="00432BAA" w:rsidRPr="00382B54" w:rsidRDefault="00432BAA" w:rsidP="00432BAA">
      <w:pPr>
        <w:jc w:val="right"/>
        <w:rPr>
          <w:sz w:val="24"/>
          <w:szCs w:val="24"/>
        </w:rPr>
      </w:pPr>
    </w:p>
    <w:p w:rsidR="00432BAA" w:rsidRPr="00382B54" w:rsidRDefault="00432BAA" w:rsidP="006D2B8C">
      <w:pPr>
        <w:jc w:val="center"/>
        <w:rPr>
          <w:rFonts w:cs="Arial"/>
          <w:b/>
          <w:color w:val="7030A0"/>
          <w:sz w:val="24"/>
          <w:szCs w:val="24"/>
        </w:rPr>
      </w:pPr>
      <w:r w:rsidRPr="00382B54">
        <w:rPr>
          <w:rFonts w:cs="Arial"/>
          <w:b/>
          <w:color w:val="7030A0"/>
          <w:sz w:val="24"/>
          <w:szCs w:val="24"/>
        </w:rPr>
        <w:t>1</w:t>
      </w:r>
      <w:r w:rsidRPr="00382B54">
        <w:rPr>
          <w:rFonts w:cs="Arial"/>
          <w:b/>
          <w:color w:val="7030A0"/>
          <w:sz w:val="24"/>
          <w:szCs w:val="24"/>
          <w:vertAlign w:val="superscript"/>
        </w:rPr>
        <w:t>st</w:t>
      </w:r>
      <w:r w:rsidRPr="00382B54">
        <w:rPr>
          <w:rFonts w:cs="Arial"/>
          <w:b/>
          <w:color w:val="7030A0"/>
          <w:sz w:val="24"/>
          <w:szCs w:val="24"/>
        </w:rPr>
        <w:t xml:space="preserve"> Annual Tenant Panel Conference</w:t>
      </w:r>
    </w:p>
    <w:p w:rsidR="00432BAA" w:rsidRPr="00382B54" w:rsidRDefault="00432BAA" w:rsidP="00432BAA">
      <w:pPr>
        <w:jc w:val="center"/>
        <w:rPr>
          <w:rFonts w:cs="Arial"/>
          <w:b/>
          <w:sz w:val="24"/>
          <w:szCs w:val="24"/>
        </w:rPr>
      </w:pPr>
      <w:r w:rsidRPr="00382B54">
        <w:rPr>
          <w:rFonts w:cs="Arial"/>
          <w:b/>
          <w:sz w:val="24"/>
          <w:szCs w:val="24"/>
        </w:rPr>
        <w:t xml:space="preserve"> Monday, 28</w:t>
      </w:r>
      <w:r w:rsidRPr="00382B54">
        <w:rPr>
          <w:rFonts w:cs="Arial"/>
          <w:b/>
          <w:sz w:val="24"/>
          <w:szCs w:val="24"/>
          <w:vertAlign w:val="superscript"/>
        </w:rPr>
        <w:t>th</w:t>
      </w:r>
      <w:r w:rsidRPr="00382B54">
        <w:rPr>
          <w:rFonts w:cs="Arial"/>
          <w:b/>
          <w:sz w:val="24"/>
          <w:szCs w:val="24"/>
        </w:rPr>
        <w:t xml:space="preserve"> November 2011</w:t>
      </w:r>
      <w:r w:rsidRPr="00382B54">
        <w:rPr>
          <w:rFonts w:cs="Arial"/>
          <w:b/>
          <w:sz w:val="24"/>
          <w:szCs w:val="24"/>
        </w:rPr>
        <w:br/>
      </w:r>
      <w:r w:rsidRPr="00382B54">
        <w:rPr>
          <w:rFonts w:cs="Arial"/>
          <w:b/>
          <w:color w:val="7030A0"/>
          <w:sz w:val="24"/>
          <w:szCs w:val="24"/>
        </w:rPr>
        <w:t>York Racecourse</w:t>
      </w:r>
      <w:r w:rsidR="00382B54" w:rsidRPr="00382B54">
        <w:rPr>
          <w:rFonts w:cs="Arial"/>
          <w:b/>
          <w:color w:val="7030A0"/>
          <w:sz w:val="24"/>
          <w:szCs w:val="24"/>
        </w:rPr>
        <w:t xml:space="preserve"> (Knavesmere Stand)</w:t>
      </w:r>
    </w:p>
    <w:p w:rsidR="00432BAA" w:rsidRPr="00382B54" w:rsidRDefault="00432BAA" w:rsidP="00432BAA">
      <w:pPr>
        <w:rPr>
          <w:rFonts w:cs="Times New Roman"/>
          <w:sz w:val="24"/>
          <w:szCs w:val="24"/>
        </w:rPr>
      </w:pPr>
    </w:p>
    <w:tbl>
      <w:tblPr>
        <w:tblW w:w="10438" w:type="dxa"/>
        <w:jc w:val="center"/>
        <w:tblInd w:w="-1690" w:type="dxa"/>
        <w:tblLook w:val="01E0" w:firstRow="1" w:lastRow="1" w:firstColumn="1" w:lastColumn="1" w:noHBand="0" w:noVBand="0"/>
      </w:tblPr>
      <w:tblGrid>
        <w:gridCol w:w="2857"/>
        <w:gridCol w:w="7581"/>
      </w:tblGrid>
      <w:tr w:rsidR="00432BAA" w:rsidRPr="00382B54" w:rsidTr="00432BAA">
        <w:trPr>
          <w:trHeight w:val="340"/>
          <w:jc w:val="center"/>
        </w:trPr>
        <w:tc>
          <w:tcPr>
            <w:tcW w:w="2857" w:type="dxa"/>
            <w:tcBorders>
              <w:top w:val="nil"/>
              <w:left w:val="nil"/>
              <w:bottom w:val="nil"/>
              <w:right w:val="single" w:sz="4" w:space="0" w:color="auto"/>
            </w:tcBorders>
            <w:vAlign w:val="center"/>
            <w:hideMark/>
          </w:tcPr>
          <w:p w:rsidR="00432BAA" w:rsidRPr="00382B54" w:rsidRDefault="00432BAA">
            <w:pPr>
              <w:rPr>
                <w:rFonts w:cs="Arial"/>
                <w:b/>
                <w:color w:val="7030A0"/>
                <w:sz w:val="24"/>
                <w:szCs w:val="24"/>
                <w:lang w:val="en-US" w:eastAsia="en-US"/>
              </w:rPr>
            </w:pPr>
            <w:r w:rsidRPr="00382B54">
              <w:rPr>
                <w:rFonts w:cs="Arial"/>
                <w:b/>
                <w:color w:val="7030A0"/>
                <w:sz w:val="24"/>
                <w:szCs w:val="24"/>
              </w:rPr>
              <w:t>Contact Name:</w:t>
            </w:r>
          </w:p>
        </w:tc>
        <w:tc>
          <w:tcPr>
            <w:tcW w:w="7581" w:type="dxa"/>
            <w:tcBorders>
              <w:top w:val="single" w:sz="4" w:space="0" w:color="auto"/>
              <w:left w:val="single" w:sz="4" w:space="0" w:color="auto"/>
              <w:bottom w:val="single" w:sz="4" w:space="0" w:color="auto"/>
              <w:right w:val="single" w:sz="4" w:space="0" w:color="auto"/>
            </w:tcBorders>
            <w:shd w:val="clear" w:color="auto" w:fill="FFFFFF"/>
          </w:tcPr>
          <w:p w:rsidR="00432BAA" w:rsidRPr="00382B54" w:rsidRDefault="00432BAA">
            <w:pPr>
              <w:rPr>
                <w:rFonts w:cs="Arial"/>
                <w:sz w:val="24"/>
                <w:szCs w:val="24"/>
                <w:lang w:val="en-US" w:eastAsia="en-US"/>
              </w:rPr>
            </w:pPr>
          </w:p>
        </w:tc>
      </w:tr>
      <w:tr w:rsidR="00432BAA" w:rsidRPr="00382B54" w:rsidTr="00432BAA">
        <w:trPr>
          <w:trHeight w:val="340"/>
          <w:jc w:val="center"/>
        </w:trPr>
        <w:tc>
          <w:tcPr>
            <w:tcW w:w="2857" w:type="dxa"/>
            <w:tcBorders>
              <w:top w:val="nil"/>
              <w:left w:val="nil"/>
              <w:bottom w:val="nil"/>
              <w:right w:val="single" w:sz="4" w:space="0" w:color="auto"/>
            </w:tcBorders>
            <w:vAlign w:val="center"/>
            <w:hideMark/>
          </w:tcPr>
          <w:p w:rsidR="00432BAA" w:rsidRPr="00382B54" w:rsidRDefault="00432BAA">
            <w:pPr>
              <w:rPr>
                <w:rFonts w:cs="Arial"/>
                <w:b/>
                <w:color w:val="7030A0"/>
                <w:sz w:val="24"/>
                <w:szCs w:val="24"/>
                <w:lang w:val="en-US" w:eastAsia="en-US"/>
              </w:rPr>
            </w:pPr>
            <w:r w:rsidRPr="00382B54">
              <w:rPr>
                <w:rFonts w:cs="Arial"/>
                <w:b/>
                <w:color w:val="7030A0"/>
                <w:sz w:val="24"/>
                <w:szCs w:val="24"/>
              </w:rPr>
              <w:t>Organisation Name:</w:t>
            </w:r>
          </w:p>
        </w:tc>
        <w:tc>
          <w:tcPr>
            <w:tcW w:w="7581" w:type="dxa"/>
            <w:tcBorders>
              <w:top w:val="single" w:sz="4" w:space="0" w:color="auto"/>
              <w:left w:val="single" w:sz="4" w:space="0" w:color="auto"/>
              <w:bottom w:val="single" w:sz="4" w:space="0" w:color="auto"/>
              <w:right w:val="single" w:sz="4" w:space="0" w:color="auto"/>
            </w:tcBorders>
            <w:shd w:val="clear" w:color="auto" w:fill="FFFFFF"/>
          </w:tcPr>
          <w:p w:rsidR="00432BAA" w:rsidRPr="00382B54" w:rsidRDefault="00432BAA">
            <w:pPr>
              <w:rPr>
                <w:rFonts w:cs="Arial"/>
                <w:sz w:val="24"/>
                <w:szCs w:val="24"/>
                <w:lang w:val="en-US" w:eastAsia="en-US"/>
              </w:rPr>
            </w:pPr>
          </w:p>
        </w:tc>
      </w:tr>
      <w:tr w:rsidR="00432BAA" w:rsidRPr="00382B54" w:rsidTr="00432BAA">
        <w:trPr>
          <w:trHeight w:val="1341"/>
          <w:jc w:val="center"/>
        </w:trPr>
        <w:tc>
          <w:tcPr>
            <w:tcW w:w="2857" w:type="dxa"/>
            <w:tcBorders>
              <w:top w:val="nil"/>
              <w:left w:val="nil"/>
              <w:bottom w:val="nil"/>
              <w:right w:val="single" w:sz="4" w:space="0" w:color="auto"/>
            </w:tcBorders>
            <w:vAlign w:val="center"/>
          </w:tcPr>
          <w:p w:rsidR="00432BAA" w:rsidRPr="00382B54" w:rsidRDefault="00432BAA">
            <w:pPr>
              <w:rPr>
                <w:rFonts w:cs="Arial"/>
                <w:b/>
                <w:color w:val="7030A0"/>
                <w:sz w:val="24"/>
                <w:szCs w:val="24"/>
              </w:rPr>
            </w:pPr>
            <w:r w:rsidRPr="00382B54">
              <w:rPr>
                <w:rFonts w:cs="Arial"/>
                <w:b/>
                <w:color w:val="7030A0"/>
                <w:sz w:val="24"/>
                <w:szCs w:val="24"/>
              </w:rPr>
              <w:t>Organisation Address:</w:t>
            </w:r>
          </w:p>
          <w:p w:rsidR="00432BAA" w:rsidRPr="00382B54" w:rsidRDefault="00432BAA">
            <w:pPr>
              <w:rPr>
                <w:rFonts w:cs="Arial"/>
                <w:b/>
                <w:color w:val="7030A0"/>
                <w:sz w:val="24"/>
                <w:szCs w:val="24"/>
              </w:rPr>
            </w:pPr>
          </w:p>
          <w:p w:rsidR="00432BAA" w:rsidRPr="00382B54" w:rsidRDefault="00432BAA">
            <w:pPr>
              <w:rPr>
                <w:rFonts w:cs="Arial"/>
                <w:b/>
                <w:color w:val="7030A0"/>
                <w:sz w:val="24"/>
                <w:szCs w:val="24"/>
              </w:rPr>
            </w:pPr>
          </w:p>
          <w:p w:rsidR="00432BAA" w:rsidRPr="00382B54" w:rsidRDefault="00432BAA">
            <w:pPr>
              <w:rPr>
                <w:rFonts w:cs="Arial"/>
                <w:b/>
                <w:color w:val="7030A0"/>
                <w:sz w:val="24"/>
                <w:szCs w:val="24"/>
              </w:rPr>
            </w:pPr>
          </w:p>
          <w:p w:rsidR="00432BAA" w:rsidRPr="00382B54" w:rsidRDefault="00432BAA">
            <w:pPr>
              <w:rPr>
                <w:rFonts w:cs="Arial"/>
                <w:b/>
                <w:color w:val="7030A0"/>
                <w:sz w:val="24"/>
                <w:szCs w:val="24"/>
                <w:lang w:val="en-US" w:eastAsia="en-US"/>
              </w:rPr>
            </w:pPr>
          </w:p>
        </w:tc>
        <w:tc>
          <w:tcPr>
            <w:tcW w:w="7581" w:type="dxa"/>
            <w:tcBorders>
              <w:top w:val="single" w:sz="4" w:space="0" w:color="auto"/>
              <w:left w:val="single" w:sz="4" w:space="0" w:color="auto"/>
              <w:bottom w:val="single" w:sz="4" w:space="0" w:color="auto"/>
              <w:right w:val="single" w:sz="4" w:space="0" w:color="auto"/>
            </w:tcBorders>
            <w:shd w:val="clear" w:color="auto" w:fill="FFFFFF"/>
          </w:tcPr>
          <w:p w:rsidR="00432BAA" w:rsidRPr="00382B54" w:rsidRDefault="00432BAA">
            <w:pPr>
              <w:rPr>
                <w:rFonts w:cs="Arial"/>
                <w:sz w:val="24"/>
                <w:szCs w:val="24"/>
                <w:lang w:val="en-US" w:eastAsia="en-US"/>
              </w:rPr>
            </w:pPr>
          </w:p>
        </w:tc>
      </w:tr>
      <w:tr w:rsidR="00432BAA" w:rsidRPr="00382B54" w:rsidTr="00432BAA">
        <w:trPr>
          <w:trHeight w:val="340"/>
          <w:jc w:val="center"/>
        </w:trPr>
        <w:tc>
          <w:tcPr>
            <w:tcW w:w="2857" w:type="dxa"/>
            <w:tcBorders>
              <w:top w:val="nil"/>
              <w:left w:val="nil"/>
              <w:bottom w:val="nil"/>
              <w:right w:val="single" w:sz="4" w:space="0" w:color="auto"/>
            </w:tcBorders>
            <w:vAlign w:val="center"/>
            <w:hideMark/>
          </w:tcPr>
          <w:p w:rsidR="00432BAA" w:rsidRPr="00382B54" w:rsidRDefault="00432BAA">
            <w:pPr>
              <w:rPr>
                <w:rFonts w:cs="Arial"/>
                <w:b/>
                <w:color w:val="7030A0"/>
                <w:sz w:val="24"/>
                <w:szCs w:val="24"/>
                <w:lang w:val="en-US" w:eastAsia="en-US"/>
              </w:rPr>
            </w:pPr>
            <w:r w:rsidRPr="00382B54">
              <w:rPr>
                <w:rFonts w:cs="Arial"/>
                <w:b/>
                <w:color w:val="7030A0"/>
                <w:sz w:val="24"/>
                <w:szCs w:val="24"/>
              </w:rPr>
              <w:t>Telephone:</w:t>
            </w:r>
          </w:p>
        </w:tc>
        <w:tc>
          <w:tcPr>
            <w:tcW w:w="7581" w:type="dxa"/>
            <w:tcBorders>
              <w:top w:val="single" w:sz="4" w:space="0" w:color="auto"/>
              <w:left w:val="single" w:sz="4" w:space="0" w:color="auto"/>
              <w:bottom w:val="single" w:sz="4" w:space="0" w:color="auto"/>
              <w:right w:val="single" w:sz="4" w:space="0" w:color="auto"/>
            </w:tcBorders>
            <w:shd w:val="clear" w:color="auto" w:fill="FFFFFF"/>
          </w:tcPr>
          <w:p w:rsidR="00432BAA" w:rsidRPr="00382B54" w:rsidRDefault="00432BAA">
            <w:pPr>
              <w:rPr>
                <w:rFonts w:cs="Arial"/>
                <w:sz w:val="24"/>
                <w:szCs w:val="24"/>
                <w:lang w:val="en-US" w:eastAsia="en-US"/>
              </w:rPr>
            </w:pPr>
          </w:p>
        </w:tc>
      </w:tr>
      <w:tr w:rsidR="00432BAA" w:rsidRPr="00382B54" w:rsidTr="00432BAA">
        <w:trPr>
          <w:trHeight w:val="340"/>
          <w:jc w:val="center"/>
        </w:trPr>
        <w:tc>
          <w:tcPr>
            <w:tcW w:w="2857" w:type="dxa"/>
            <w:tcBorders>
              <w:top w:val="nil"/>
              <w:left w:val="nil"/>
              <w:bottom w:val="nil"/>
              <w:right w:val="single" w:sz="4" w:space="0" w:color="auto"/>
            </w:tcBorders>
            <w:vAlign w:val="center"/>
            <w:hideMark/>
          </w:tcPr>
          <w:p w:rsidR="00432BAA" w:rsidRPr="00382B54" w:rsidRDefault="00432BAA">
            <w:pPr>
              <w:rPr>
                <w:rFonts w:cs="Arial"/>
                <w:b/>
                <w:color w:val="7030A0"/>
                <w:sz w:val="24"/>
                <w:szCs w:val="24"/>
                <w:lang w:val="en-US" w:eastAsia="en-US"/>
              </w:rPr>
            </w:pPr>
            <w:r w:rsidRPr="00382B54">
              <w:rPr>
                <w:rFonts w:cs="Arial"/>
                <w:b/>
                <w:color w:val="7030A0"/>
                <w:sz w:val="24"/>
                <w:szCs w:val="24"/>
              </w:rPr>
              <w:t>Email:</w:t>
            </w:r>
          </w:p>
        </w:tc>
        <w:tc>
          <w:tcPr>
            <w:tcW w:w="7581" w:type="dxa"/>
            <w:tcBorders>
              <w:top w:val="single" w:sz="4" w:space="0" w:color="auto"/>
              <w:left w:val="single" w:sz="4" w:space="0" w:color="auto"/>
              <w:bottom w:val="single" w:sz="4" w:space="0" w:color="auto"/>
              <w:right w:val="single" w:sz="4" w:space="0" w:color="auto"/>
            </w:tcBorders>
            <w:shd w:val="clear" w:color="auto" w:fill="FFFFFF"/>
          </w:tcPr>
          <w:p w:rsidR="00432BAA" w:rsidRPr="00382B54" w:rsidRDefault="00432BAA">
            <w:pPr>
              <w:rPr>
                <w:rFonts w:cs="Arial"/>
                <w:sz w:val="24"/>
                <w:szCs w:val="24"/>
                <w:lang w:val="en-US" w:eastAsia="en-US"/>
              </w:rPr>
            </w:pPr>
          </w:p>
        </w:tc>
      </w:tr>
      <w:tr w:rsidR="00432BAA" w:rsidRPr="00382B54" w:rsidTr="00432BAA">
        <w:trPr>
          <w:trHeight w:val="340"/>
          <w:jc w:val="center"/>
        </w:trPr>
        <w:tc>
          <w:tcPr>
            <w:tcW w:w="2857" w:type="dxa"/>
            <w:vAlign w:val="center"/>
          </w:tcPr>
          <w:p w:rsidR="00432BAA" w:rsidRPr="00382B54" w:rsidRDefault="00432BAA">
            <w:pPr>
              <w:rPr>
                <w:rFonts w:cs="Arial"/>
                <w:b/>
                <w:color w:val="7030A0"/>
                <w:sz w:val="24"/>
                <w:szCs w:val="24"/>
                <w:lang w:val="en-US" w:eastAsia="en-US"/>
              </w:rPr>
            </w:pPr>
          </w:p>
        </w:tc>
        <w:tc>
          <w:tcPr>
            <w:tcW w:w="7581" w:type="dxa"/>
            <w:tcBorders>
              <w:top w:val="single" w:sz="4" w:space="0" w:color="auto"/>
              <w:left w:val="nil"/>
              <w:bottom w:val="single" w:sz="4" w:space="0" w:color="auto"/>
              <w:right w:val="nil"/>
            </w:tcBorders>
          </w:tcPr>
          <w:p w:rsidR="00432BAA" w:rsidRPr="00382B54" w:rsidRDefault="00432BAA">
            <w:pPr>
              <w:rPr>
                <w:rFonts w:cs="Arial"/>
                <w:sz w:val="24"/>
                <w:szCs w:val="24"/>
                <w:lang w:val="en-US" w:eastAsia="en-US"/>
              </w:rPr>
            </w:pPr>
          </w:p>
        </w:tc>
      </w:tr>
      <w:tr w:rsidR="00432BAA" w:rsidRPr="00382B54" w:rsidTr="00432BAA">
        <w:trPr>
          <w:trHeight w:val="340"/>
          <w:jc w:val="center"/>
        </w:trPr>
        <w:tc>
          <w:tcPr>
            <w:tcW w:w="2857" w:type="dxa"/>
            <w:tcBorders>
              <w:top w:val="nil"/>
              <w:left w:val="nil"/>
              <w:bottom w:val="nil"/>
              <w:right w:val="single" w:sz="4" w:space="0" w:color="auto"/>
            </w:tcBorders>
            <w:vAlign w:val="center"/>
            <w:hideMark/>
          </w:tcPr>
          <w:p w:rsidR="00432BAA" w:rsidRPr="00382B54" w:rsidRDefault="00432BAA">
            <w:pPr>
              <w:rPr>
                <w:rFonts w:cs="Arial"/>
                <w:b/>
                <w:color w:val="7030A0"/>
                <w:sz w:val="24"/>
                <w:szCs w:val="24"/>
                <w:lang w:val="en-US" w:eastAsia="en-US"/>
              </w:rPr>
            </w:pPr>
            <w:r w:rsidRPr="00382B54">
              <w:rPr>
                <w:rFonts w:cs="Arial"/>
                <w:b/>
                <w:color w:val="7030A0"/>
                <w:sz w:val="24"/>
                <w:szCs w:val="24"/>
              </w:rPr>
              <w:t>No. of Places</w:t>
            </w:r>
          </w:p>
        </w:tc>
        <w:tc>
          <w:tcPr>
            <w:tcW w:w="7581" w:type="dxa"/>
            <w:tcBorders>
              <w:top w:val="single" w:sz="4" w:space="0" w:color="auto"/>
              <w:left w:val="single" w:sz="4" w:space="0" w:color="auto"/>
              <w:bottom w:val="single" w:sz="4" w:space="0" w:color="auto"/>
              <w:right w:val="single" w:sz="4" w:space="0" w:color="auto"/>
            </w:tcBorders>
            <w:shd w:val="clear" w:color="auto" w:fill="FFFFFF"/>
          </w:tcPr>
          <w:p w:rsidR="00432BAA" w:rsidRPr="00382B54" w:rsidRDefault="00432BAA">
            <w:pPr>
              <w:rPr>
                <w:rFonts w:cs="Arial"/>
                <w:sz w:val="24"/>
                <w:szCs w:val="24"/>
                <w:lang w:val="en-US" w:eastAsia="en-US"/>
              </w:rPr>
            </w:pPr>
          </w:p>
        </w:tc>
      </w:tr>
    </w:tbl>
    <w:p w:rsidR="00432BAA" w:rsidRPr="00382B54" w:rsidRDefault="00432BAA" w:rsidP="00432BAA">
      <w:pPr>
        <w:rPr>
          <w:rFonts w:ascii="Arial" w:hAnsi="Arial"/>
          <w:sz w:val="24"/>
          <w:szCs w:val="24"/>
          <w:lang w:val="en-US" w:eastAsia="en-US"/>
        </w:rPr>
      </w:pPr>
    </w:p>
    <w:tbl>
      <w:tblPr>
        <w:tblW w:w="103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13"/>
        <w:gridCol w:w="3030"/>
        <w:gridCol w:w="4352"/>
      </w:tblGrid>
      <w:tr w:rsidR="00432BAA" w:rsidRPr="00382B54" w:rsidTr="00432BAA">
        <w:trPr>
          <w:trHeight w:val="340"/>
          <w:jc w:val="center"/>
        </w:trPr>
        <w:tc>
          <w:tcPr>
            <w:tcW w:w="3014" w:type="dxa"/>
            <w:tcBorders>
              <w:top w:val="single" w:sz="4" w:space="0" w:color="auto"/>
              <w:left w:val="single" w:sz="4" w:space="0" w:color="auto"/>
              <w:bottom w:val="single" w:sz="4" w:space="0" w:color="auto"/>
              <w:right w:val="single" w:sz="4" w:space="0" w:color="auto"/>
            </w:tcBorders>
            <w:vAlign w:val="center"/>
            <w:hideMark/>
          </w:tcPr>
          <w:p w:rsidR="00432BAA" w:rsidRPr="00382B54" w:rsidRDefault="00432BAA">
            <w:pPr>
              <w:rPr>
                <w:rFonts w:cs="Arial"/>
                <w:b/>
                <w:color w:val="7030A0"/>
                <w:sz w:val="24"/>
                <w:szCs w:val="24"/>
                <w:lang w:val="en-US" w:eastAsia="en-US"/>
              </w:rPr>
            </w:pPr>
            <w:r w:rsidRPr="00382B54">
              <w:rPr>
                <w:rFonts w:cs="Arial"/>
                <w:b/>
                <w:color w:val="7030A0"/>
                <w:sz w:val="24"/>
                <w:szCs w:val="24"/>
              </w:rPr>
              <w:t>Delegate Name</w:t>
            </w:r>
          </w:p>
        </w:tc>
        <w:tc>
          <w:tcPr>
            <w:tcW w:w="3031" w:type="dxa"/>
            <w:tcBorders>
              <w:top w:val="single" w:sz="4" w:space="0" w:color="auto"/>
              <w:left w:val="single" w:sz="4" w:space="0" w:color="auto"/>
              <w:bottom w:val="single" w:sz="4" w:space="0" w:color="auto"/>
              <w:right w:val="single" w:sz="4" w:space="0" w:color="auto"/>
            </w:tcBorders>
            <w:vAlign w:val="center"/>
            <w:hideMark/>
          </w:tcPr>
          <w:p w:rsidR="00432BAA" w:rsidRPr="00382B54" w:rsidRDefault="00432BAA">
            <w:pPr>
              <w:rPr>
                <w:rFonts w:cs="Arial"/>
                <w:b/>
                <w:color w:val="7030A0"/>
                <w:sz w:val="24"/>
                <w:szCs w:val="24"/>
                <w:lang w:val="en-US" w:eastAsia="en-US"/>
              </w:rPr>
            </w:pPr>
            <w:r w:rsidRPr="00382B54">
              <w:rPr>
                <w:rFonts w:cs="Arial"/>
                <w:b/>
                <w:color w:val="7030A0"/>
                <w:sz w:val="24"/>
                <w:szCs w:val="24"/>
              </w:rPr>
              <w:t>Job Title</w:t>
            </w:r>
          </w:p>
        </w:tc>
        <w:tc>
          <w:tcPr>
            <w:tcW w:w="4353" w:type="dxa"/>
            <w:tcBorders>
              <w:top w:val="single" w:sz="4" w:space="0" w:color="auto"/>
              <w:left w:val="single" w:sz="4" w:space="0" w:color="auto"/>
              <w:bottom w:val="single" w:sz="4" w:space="0" w:color="auto"/>
              <w:right w:val="single" w:sz="4" w:space="0" w:color="auto"/>
            </w:tcBorders>
            <w:vAlign w:val="center"/>
            <w:hideMark/>
          </w:tcPr>
          <w:p w:rsidR="00432BAA" w:rsidRPr="00382B54" w:rsidRDefault="00432BAA">
            <w:pPr>
              <w:rPr>
                <w:rFonts w:cs="Arial"/>
                <w:b/>
                <w:color w:val="7030A0"/>
                <w:sz w:val="24"/>
                <w:szCs w:val="24"/>
                <w:lang w:val="en-US" w:eastAsia="en-US"/>
              </w:rPr>
            </w:pPr>
            <w:r w:rsidRPr="00382B54">
              <w:rPr>
                <w:rFonts w:cs="Arial"/>
                <w:b/>
                <w:color w:val="7030A0"/>
                <w:sz w:val="24"/>
                <w:szCs w:val="24"/>
              </w:rPr>
              <w:t>Email</w:t>
            </w:r>
          </w:p>
        </w:tc>
      </w:tr>
      <w:tr w:rsidR="00432BAA" w:rsidRPr="00382B54" w:rsidTr="00432BAA">
        <w:trPr>
          <w:trHeight w:val="454"/>
          <w:jc w:val="center"/>
        </w:trPr>
        <w:tc>
          <w:tcPr>
            <w:tcW w:w="3014" w:type="dxa"/>
            <w:tcBorders>
              <w:top w:val="single" w:sz="4" w:space="0" w:color="auto"/>
              <w:left w:val="single" w:sz="4" w:space="0" w:color="auto"/>
              <w:bottom w:val="single" w:sz="4" w:space="0" w:color="auto"/>
              <w:right w:val="single" w:sz="4" w:space="0" w:color="auto"/>
            </w:tcBorders>
            <w:shd w:val="clear" w:color="auto" w:fill="FFFFFF"/>
            <w:vAlign w:val="center"/>
          </w:tcPr>
          <w:p w:rsidR="00432BAA" w:rsidRPr="00382B54" w:rsidRDefault="00432BAA">
            <w:pPr>
              <w:rPr>
                <w:rFonts w:cs="Arial"/>
                <w:sz w:val="24"/>
                <w:szCs w:val="24"/>
                <w:lang w:val="en-US" w:eastAsia="en-US"/>
              </w:rPr>
            </w:pPr>
          </w:p>
        </w:tc>
        <w:tc>
          <w:tcPr>
            <w:tcW w:w="3031" w:type="dxa"/>
            <w:tcBorders>
              <w:top w:val="single" w:sz="4" w:space="0" w:color="auto"/>
              <w:left w:val="single" w:sz="4" w:space="0" w:color="auto"/>
              <w:bottom w:val="single" w:sz="4" w:space="0" w:color="auto"/>
              <w:right w:val="single" w:sz="4" w:space="0" w:color="auto"/>
            </w:tcBorders>
            <w:shd w:val="clear" w:color="auto" w:fill="FFFFFF"/>
            <w:vAlign w:val="center"/>
          </w:tcPr>
          <w:p w:rsidR="00432BAA" w:rsidRPr="00382B54" w:rsidRDefault="00432BAA">
            <w:pPr>
              <w:rPr>
                <w:rFonts w:cs="Arial"/>
                <w:sz w:val="24"/>
                <w:szCs w:val="24"/>
                <w:lang w:val="en-US" w:eastAsia="en-US"/>
              </w:rPr>
            </w:pPr>
          </w:p>
        </w:tc>
        <w:tc>
          <w:tcPr>
            <w:tcW w:w="4353" w:type="dxa"/>
            <w:tcBorders>
              <w:top w:val="single" w:sz="4" w:space="0" w:color="auto"/>
              <w:left w:val="single" w:sz="4" w:space="0" w:color="auto"/>
              <w:bottom w:val="single" w:sz="4" w:space="0" w:color="auto"/>
              <w:right w:val="single" w:sz="4" w:space="0" w:color="auto"/>
            </w:tcBorders>
            <w:shd w:val="clear" w:color="auto" w:fill="FFFFFF"/>
            <w:vAlign w:val="center"/>
          </w:tcPr>
          <w:p w:rsidR="00432BAA" w:rsidRPr="00382B54" w:rsidRDefault="00432BAA">
            <w:pPr>
              <w:rPr>
                <w:rFonts w:cs="Arial"/>
                <w:sz w:val="24"/>
                <w:szCs w:val="24"/>
                <w:lang w:val="en-US" w:eastAsia="en-US"/>
              </w:rPr>
            </w:pPr>
          </w:p>
        </w:tc>
      </w:tr>
      <w:tr w:rsidR="00432BAA" w:rsidRPr="00382B54" w:rsidTr="00432BAA">
        <w:trPr>
          <w:trHeight w:val="454"/>
          <w:jc w:val="center"/>
        </w:trPr>
        <w:tc>
          <w:tcPr>
            <w:tcW w:w="3014" w:type="dxa"/>
            <w:tcBorders>
              <w:top w:val="single" w:sz="4" w:space="0" w:color="auto"/>
              <w:left w:val="single" w:sz="4" w:space="0" w:color="auto"/>
              <w:bottom w:val="single" w:sz="4" w:space="0" w:color="auto"/>
              <w:right w:val="single" w:sz="4" w:space="0" w:color="auto"/>
            </w:tcBorders>
            <w:shd w:val="clear" w:color="auto" w:fill="FFFFFF"/>
            <w:vAlign w:val="center"/>
          </w:tcPr>
          <w:p w:rsidR="00432BAA" w:rsidRPr="00382B54" w:rsidRDefault="00432BAA">
            <w:pPr>
              <w:rPr>
                <w:rFonts w:cs="Arial"/>
                <w:sz w:val="24"/>
                <w:szCs w:val="24"/>
                <w:lang w:val="en-US" w:eastAsia="en-US"/>
              </w:rPr>
            </w:pPr>
          </w:p>
        </w:tc>
        <w:tc>
          <w:tcPr>
            <w:tcW w:w="3031" w:type="dxa"/>
            <w:tcBorders>
              <w:top w:val="single" w:sz="4" w:space="0" w:color="auto"/>
              <w:left w:val="single" w:sz="4" w:space="0" w:color="auto"/>
              <w:bottom w:val="single" w:sz="4" w:space="0" w:color="auto"/>
              <w:right w:val="single" w:sz="4" w:space="0" w:color="auto"/>
            </w:tcBorders>
            <w:shd w:val="clear" w:color="auto" w:fill="FFFFFF"/>
            <w:vAlign w:val="center"/>
          </w:tcPr>
          <w:p w:rsidR="00432BAA" w:rsidRPr="00382B54" w:rsidRDefault="00432BAA">
            <w:pPr>
              <w:rPr>
                <w:rFonts w:cs="Arial"/>
                <w:sz w:val="24"/>
                <w:szCs w:val="24"/>
                <w:lang w:val="en-US" w:eastAsia="en-US"/>
              </w:rPr>
            </w:pPr>
          </w:p>
        </w:tc>
        <w:tc>
          <w:tcPr>
            <w:tcW w:w="4353" w:type="dxa"/>
            <w:tcBorders>
              <w:top w:val="single" w:sz="4" w:space="0" w:color="auto"/>
              <w:left w:val="single" w:sz="4" w:space="0" w:color="auto"/>
              <w:bottom w:val="single" w:sz="4" w:space="0" w:color="auto"/>
              <w:right w:val="single" w:sz="4" w:space="0" w:color="auto"/>
            </w:tcBorders>
            <w:shd w:val="clear" w:color="auto" w:fill="FFFFFF"/>
            <w:vAlign w:val="center"/>
          </w:tcPr>
          <w:p w:rsidR="00432BAA" w:rsidRPr="00382B54" w:rsidRDefault="00432BAA">
            <w:pPr>
              <w:rPr>
                <w:rFonts w:cs="Arial"/>
                <w:sz w:val="24"/>
                <w:szCs w:val="24"/>
                <w:lang w:val="en-US" w:eastAsia="en-US"/>
              </w:rPr>
            </w:pPr>
          </w:p>
        </w:tc>
      </w:tr>
      <w:tr w:rsidR="00432BAA" w:rsidRPr="00382B54" w:rsidTr="00432BAA">
        <w:trPr>
          <w:trHeight w:val="454"/>
          <w:jc w:val="center"/>
        </w:trPr>
        <w:tc>
          <w:tcPr>
            <w:tcW w:w="3014" w:type="dxa"/>
            <w:tcBorders>
              <w:top w:val="single" w:sz="4" w:space="0" w:color="auto"/>
              <w:left w:val="single" w:sz="4" w:space="0" w:color="auto"/>
              <w:bottom w:val="single" w:sz="4" w:space="0" w:color="auto"/>
              <w:right w:val="single" w:sz="4" w:space="0" w:color="auto"/>
            </w:tcBorders>
            <w:shd w:val="clear" w:color="auto" w:fill="FFFFFF"/>
            <w:vAlign w:val="center"/>
          </w:tcPr>
          <w:p w:rsidR="00432BAA" w:rsidRPr="00382B54" w:rsidRDefault="00432BAA">
            <w:pPr>
              <w:rPr>
                <w:rFonts w:cs="Arial"/>
                <w:sz w:val="24"/>
                <w:szCs w:val="24"/>
                <w:lang w:val="en-US" w:eastAsia="en-US"/>
              </w:rPr>
            </w:pPr>
          </w:p>
        </w:tc>
        <w:tc>
          <w:tcPr>
            <w:tcW w:w="3031" w:type="dxa"/>
            <w:tcBorders>
              <w:top w:val="single" w:sz="4" w:space="0" w:color="auto"/>
              <w:left w:val="single" w:sz="4" w:space="0" w:color="auto"/>
              <w:bottom w:val="single" w:sz="4" w:space="0" w:color="auto"/>
              <w:right w:val="single" w:sz="4" w:space="0" w:color="auto"/>
            </w:tcBorders>
            <w:shd w:val="clear" w:color="auto" w:fill="FFFFFF"/>
            <w:vAlign w:val="center"/>
          </w:tcPr>
          <w:p w:rsidR="00432BAA" w:rsidRPr="00382B54" w:rsidRDefault="00432BAA">
            <w:pPr>
              <w:rPr>
                <w:rFonts w:cs="Arial"/>
                <w:sz w:val="24"/>
                <w:szCs w:val="24"/>
                <w:lang w:val="en-US" w:eastAsia="en-US"/>
              </w:rPr>
            </w:pPr>
          </w:p>
        </w:tc>
        <w:tc>
          <w:tcPr>
            <w:tcW w:w="4353" w:type="dxa"/>
            <w:tcBorders>
              <w:top w:val="single" w:sz="4" w:space="0" w:color="auto"/>
              <w:left w:val="single" w:sz="4" w:space="0" w:color="auto"/>
              <w:bottom w:val="single" w:sz="4" w:space="0" w:color="auto"/>
              <w:right w:val="single" w:sz="4" w:space="0" w:color="auto"/>
            </w:tcBorders>
            <w:shd w:val="clear" w:color="auto" w:fill="FFFFFF"/>
            <w:vAlign w:val="center"/>
          </w:tcPr>
          <w:p w:rsidR="00432BAA" w:rsidRPr="00382B54" w:rsidRDefault="00432BAA">
            <w:pPr>
              <w:rPr>
                <w:rFonts w:cs="Arial"/>
                <w:sz w:val="24"/>
                <w:szCs w:val="24"/>
                <w:lang w:val="en-US" w:eastAsia="en-US"/>
              </w:rPr>
            </w:pPr>
          </w:p>
        </w:tc>
      </w:tr>
      <w:tr w:rsidR="00432BAA" w:rsidRPr="00382B54" w:rsidTr="00432BAA">
        <w:trPr>
          <w:trHeight w:val="454"/>
          <w:jc w:val="center"/>
        </w:trPr>
        <w:tc>
          <w:tcPr>
            <w:tcW w:w="3014" w:type="dxa"/>
            <w:tcBorders>
              <w:top w:val="single" w:sz="4" w:space="0" w:color="auto"/>
              <w:left w:val="single" w:sz="4" w:space="0" w:color="auto"/>
              <w:bottom w:val="single" w:sz="4" w:space="0" w:color="auto"/>
              <w:right w:val="single" w:sz="4" w:space="0" w:color="auto"/>
            </w:tcBorders>
            <w:shd w:val="clear" w:color="auto" w:fill="FFFFFF"/>
            <w:vAlign w:val="center"/>
          </w:tcPr>
          <w:p w:rsidR="00432BAA" w:rsidRPr="00382B54" w:rsidRDefault="00432BAA">
            <w:pPr>
              <w:rPr>
                <w:rFonts w:cs="Arial"/>
                <w:sz w:val="24"/>
                <w:szCs w:val="24"/>
                <w:lang w:val="en-US" w:eastAsia="en-US"/>
              </w:rPr>
            </w:pPr>
          </w:p>
        </w:tc>
        <w:tc>
          <w:tcPr>
            <w:tcW w:w="3031" w:type="dxa"/>
            <w:tcBorders>
              <w:top w:val="single" w:sz="4" w:space="0" w:color="auto"/>
              <w:left w:val="single" w:sz="4" w:space="0" w:color="auto"/>
              <w:bottom w:val="single" w:sz="4" w:space="0" w:color="auto"/>
              <w:right w:val="single" w:sz="4" w:space="0" w:color="auto"/>
            </w:tcBorders>
            <w:shd w:val="clear" w:color="auto" w:fill="FFFFFF"/>
            <w:vAlign w:val="center"/>
          </w:tcPr>
          <w:p w:rsidR="00432BAA" w:rsidRPr="00382B54" w:rsidRDefault="00432BAA">
            <w:pPr>
              <w:rPr>
                <w:rFonts w:cs="Arial"/>
                <w:sz w:val="24"/>
                <w:szCs w:val="24"/>
                <w:lang w:val="en-US" w:eastAsia="en-US"/>
              </w:rPr>
            </w:pPr>
          </w:p>
        </w:tc>
        <w:tc>
          <w:tcPr>
            <w:tcW w:w="4353" w:type="dxa"/>
            <w:tcBorders>
              <w:top w:val="single" w:sz="4" w:space="0" w:color="auto"/>
              <w:left w:val="single" w:sz="4" w:space="0" w:color="auto"/>
              <w:bottom w:val="single" w:sz="4" w:space="0" w:color="auto"/>
              <w:right w:val="single" w:sz="4" w:space="0" w:color="auto"/>
            </w:tcBorders>
            <w:shd w:val="clear" w:color="auto" w:fill="FFFFFF"/>
            <w:vAlign w:val="center"/>
          </w:tcPr>
          <w:p w:rsidR="00432BAA" w:rsidRPr="00382B54" w:rsidRDefault="00432BAA">
            <w:pPr>
              <w:rPr>
                <w:rFonts w:cs="Arial"/>
                <w:sz w:val="24"/>
                <w:szCs w:val="24"/>
                <w:lang w:val="en-US" w:eastAsia="en-US"/>
              </w:rPr>
            </w:pPr>
          </w:p>
        </w:tc>
      </w:tr>
      <w:tr w:rsidR="00432BAA" w:rsidRPr="00382B54" w:rsidTr="00432BAA">
        <w:trPr>
          <w:trHeight w:val="454"/>
          <w:jc w:val="center"/>
        </w:trPr>
        <w:tc>
          <w:tcPr>
            <w:tcW w:w="3014" w:type="dxa"/>
            <w:tcBorders>
              <w:top w:val="single" w:sz="4" w:space="0" w:color="auto"/>
              <w:left w:val="single" w:sz="4" w:space="0" w:color="auto"/>
              <w:bottom w:val="single" w:sz="4" w:space="0" w:color="auto"/>
              <w:right w:val="single" w:sz="4" w:space="0" w:color="auto"/>
            </w:tcBorders>
            <w:shd w:val="clear" w:color="auto" w:fill="FFFFFF"/>
            <w:vAlign w:val="center"/>
          </w:tcPr>
          <w:p w:rsidR="00432BAA" w:rsidRPr="00382B54" w:rsidRDefault="00432BAA">
            <w:pPr>
              <w:rPr>
                <w:rFonts w:cs="Arial"/>
                <w:sz w:val="24"/>
                <w:szCs w:val="24"/>
                <w:lang w:val="en-US" w:eastAsia="en-US"/>
              </w:rPr>
            </w:pPr>
          </w:p>
        </w:tc>
        <w:tc>
          <w:tcPr>
            <w:tcW w:w="3031" w:type="dxa"/>
            <w:tcBorders>
              <w:top w:val="single" w:sz="4" w:space="0" w:color="auto"/>
              <w:left w:val="single" w:sz="4" w:space="0" w:color="auto"/>
              <w:bottom w:val="single" w:sz="4" w:space="0" w:color="auto"/>
              <w:right w:val="single" w:sz="4" w:space="0" w:color="auto"/>
            </w:tcBorders>
            <w:shd w:val="clear" w:color="auto" w:fill="FFFFFF"/>
            <w:vAlign w:val="center"/>
          </w:tcPr>
          <w:p w:rsidR="00432BAA" w:rsidRPr="00382B54" w:rsidRDefault="00432BAA">
            <w:pPr>
              <w:rPr>
                <w:rFonts w:cs="Arial"/>
                <w:sz w:val="24"/>
                <w:szCs w:val="24"/>
                <w:lang w:val="en-US" w:eastAsia="en-US"/>
              </w:rPr>
            </w:pPr>
          </w:p>
        </w:tc>
        <w:tc>
          <w:tcPr>
            <w:tcW w:w="4353" w:type="dxa"/>
            <w:tcBorders>
              <w:top w:val="single" w:sz="4" w:space="0" w:color="auto"/>
              <w:left w:val="single" w:sz="4" w:space="0" w:color="auto"/>
              <w:bottom w:val="single" w:sz="4" w:space="0" w:color="auto"/>
              <w:right w:val="single" w:sz="4" w:space="0" w:color="auto"/>
            </w:tcBorders>
            <w:shd w:val="clear" w:color="auto" w:fill="FFFFFF"/>
            <w:vAlign w:val="center"/>
          </w:tcPr>
          <w:p w:rsidR="00432BAA" w:rsidRPr="00382B54" w:rsidRDefault="00432BAA">
            <w:pPr>
              <w:rPr>
                <w:rFonts w:cs="Arial"/>
                <w:sz w:val="24"/>
                <w:szCs w:val="24"/>
                <w:lang w:val="en-US" w:eastAsia="en-US"/>
              </w:rPr>
            </w:pPr>
          </w:p>
        </w:tc>
      </w:tr>
      <w:tr w:rsidR="00432BAA" w:rsidRPr="00382B54" w:rsidTr="00432BAA">
        <w:trPr>
          <w:trHeight w:val="454"/>
          <w:jc w:val="center"/>
        </w:trPr>
        <w:tc>
          <w:tcPr>
            <w:tcW w:w="3014" w:type="dxa"/>
            <w:tcBorders>
              <w:top w:val="single" w:sz="4" w:space="0" w:color="auto"/>
              <w:left w:val="single" w:sz="4" w:space="0" w:color="auto"/>
              <w:bottom w:val="single" w:sz="4" w:space="0" w:color="auto"/>
              <w:right w:val="single" w:sz="4" w:space="0" w:color="auto"/>
            </w:tcBorders>
            <w:shd w:val="clear" w:color="auto" w:fill="FFFFFF"/>
            <w:vAlign w:val="center"/>
          </w:tcPr>
          <w:p w:rsidR="00432BAA" w:rsidRPr="00382B54" w:rsidRDefault="00432BAA">
            <w:pPr>
              <w:rPr>
                <w:rFonts w:cs="Arial"/>
                <w:sz w:val="24"/>
                <w:szCs w:val="24"/>
                <w:lang w:val="en-US" w:eastAsia="en-US"/>
              </w:rPr>
            </w:pPr>
          </w:p>
        </w:tc>
        <w:tc>
          <w:tcPr>
            <w:tcW w:w="3031" w:type="dxa"/>
            <w:tcBorders>
              <w:top w:val="single" w:sz="4" w:space="0" w:color="auto"/>
              <w:left w:val="single" w:sz="4" w:space="0" w:color="auto"/>
              <w:bottom w:val="single" w:sz="4" w:space="0" w:color="auto"/>
              <w:right w:val="single" w:sz="4" w:space="0" w:color="auto"/>
            </w:tcBorders>
            <w:shd w:val="clear" w:color="auto" w:fill="FFFFFF"/>
            <w:vAlign w:val="center"/>
          </w:tcPr>
          <w:p w:rsidR="00432BAA" w:rsidRPr="00382B54" w:rsidRDefault="00432BAA">
            <w:pPr>
              <w:rPr>
                <w:rFonts w:cs="Arial"/>
                <w:sz w:val="24"/>
                <w:szCs w:val="24"/>
                <w:lang w:val="en-US" w:eastAsia="en-US"/>
              </w:rPr>
            </w:pPr>
          </w:p>
        </w:tc>
        <w:tc>
          <w:tcPr>
            <w:tcW w:w="4353" w:type="dxa"/>
            <w:tcBorders>
              <w:top w:val="single" w:sz="4" w:space="0" w:color="auto"/>
              <w:left w:val="single" w:sz="4" w:space="0" w:color="auto"/>
              <w:bottom w:val="single" w:sz="4" w:space="0" w:color="auto"/>
              <w:right w:val="single" w:sz="4" w:space="0" w:color="auto"/>
            </w:tcBorders>
            <w:shd w:val="clear" w:color="auto" w:fill="FFFFFF"/>
            <w:vAlign w:val="center"/>
          </w:tcPr>
          <w:p w:rsidR="00432BAA" w:rsidRPr="00382B54" w:rsidRDefault="00432BAA">
            <w:pPr>
              <w:rPr>
                <w:rFonts w:cs="Arial"/>
                <w:sz w:val="24"/>
                <w:szCs w:val="24"/>
                <w:lang w:val="en-US" w:eastAsia="en-US"/>
              </w:rPr>
            </w:pPr>
          </w:p>
        </w:tc>
      </w:tr>
      <w:tr w:rsidR="00432BAA" w:rsidRPr="00382B54" w:rsidTr="00432BAA">
        <w:trPr>
          <w:trHeight w:val="454"/>
          <w:jc w:val="center"/>
        </w:trPr>
        <w:tc>
          <w:tcPr>
            <w:tcW w:w="3014" w:type="dxa"/>
            <w:tcBorders>
              <w:top w:val="single" w:sz="4" w:space="0" w:color="auto"/>
              <w:left w:val="single" w:sz="4" w:space="0" w:color="auto"/>
              <w:bottom w:val="single" w:sz="4" w:space="0" w:color="auto"/>
              <w:right w:val="single" w:sz="4" w:space="0" w:color="auto"/>
            </w:tcBorders>
            <w:shd w:val="clear" w:color="auto" w:fill="FFFFFF"/>
            <w:vAlign w:val="center"/>
          </w:tcPr>
          <w:p w:rsidR="00432BAA" w:rsidRPr="00382B54" w:rsidRDefault="00432BAA">
            <w:pPr>
              <w:rPr>
                <w:rFonts w:cs="Arial"/>
                <w:sz w:val="24"/>
                <w:szCs w:val="24"/>
                <w:lang w:val="en-US" w:eastAsia="en-US"/>
              </w:rPr>
            </w:pPr>
          </w:p>
        </w:tc>
        <w:tc>
          <w:tcPr>
            <w:tcW w:w="3031" w:type="dxa"/>
            <w:tcBorders>
              <w:top w:val="single" w:sz="4" w:space="0" w:color="auto"/>
              <w:left w:val="single" w:sz="4" w:space="0" w:color="auto"/>
              <w:bottom w:val="single" w:sz="4" w:space="0" w:color="auto"/>
              <w:right w:val="single" w:sz="4" w:space="0" w:color="auto"/>
            </w:tcBorders>
            <w:shd w:val="clear" w:color="auto" w:fill="FFFFFF"/>
            <w:vAlign w:val="center"/>
          </w:tcPr>
          <w:p w:rsidR="00432BAA" w:rsidRPr="00382B54" w:rsidRDefault="00432BAA">
            <w:pPr>
              <w:rPr>
                <w:rFonts w:cs="Arial"/>
                <w:sz w:val="24"/>
                <w:szCs w:val="24"/>
                <w:lang w:val="en-US" w:eastAsia="en-US"/>
              </w:rPr>
            </w:pPr>
          </w:p>
        </w:tc>
        <w:tc>
          <w:tcPr>
            <w:tcW w:w="4353" w:type="dxa"/>
            <w:tcBorders>
              <w:top w:val="single" w:sz="4" w:space="0" w:color="auto"/>
              <w:left w:val="single" w:sz="4" w:space="0" w:color="auto"/>
              <w:bottom w:val="single" w:sz="4" w:space="0" w:color="auto"/>
              <w:right w:val="single" w:sz="4" w:space="0" w:color="auto"/>
            </w:tcBorders>
            <w:shd w:val="clear" w:color="auto" w:fill="FFFFFF"/>
            <w:vAlign w:val="center"/>
          </w:tcPr>
          <w:p w:rsidR="00432BAA" w:rsidRPr="00382B54" w:rsidRDefault="00432BAA">
            <w:pPr>
              <w:rPr>
                <w:rFonts w:cs="Arial"/>
                <w:sz w:val="24"/>
                <w:szCs w:val="24"/>
                <w:lang w:val="en-US" w:eastAsia="en-US"/>
              </w:rPr>
            </w:pPr>
          </w:p>
        </w:tc>
      </w:tr>
      <w:tr w:rsidR="00432BAA" w:rsidRPr="00382B54" w:rsidTr="00432BAA">
        <w:trPr>
          <w:trHeight w:val="454"/>
          <w:jc w:val="center"/>
        </w:trPr>
        <w:tc>
          <w:tcPr>
            <w:tcW w:w="3014" w:type="dxa"/>
            <w:tcBorders>
              <w:top w:val="single" w:sz="4" w:space="0" w:color="auto"/>
              <w:left w:val="single" w:sz="4" w:space="0" w:color="auto"/>
              <w:bottom w:val="single" w:sz="4" w:space="0" w:color="auto"/>
              <w:right w:val="single" w:sz="4" w:space="0" w:color="auto"/>
            </w:tcBorders>
            <w:shd w:val="clear" w:color="auto" w:fill="FFFFFF"/>
            <w:vAlign w:val="center"/>
          </w:tcPr>
          <w:p w:rsidR="00432BAA" w:rsidRPr="00382B54" w:rsidRDefault="00432BAA">
            <w:pPr>
              <w:rPr>
                <w:rFonts w:cs="Arial"/>
                <w:sz w:val="24"/>
                <w:szCs w:val="24"/>
                <w:lang w:val="en-US" w:eastAsia="en-US"/>
              </w:rPr>
            </w:pPr>
          </w:p>
        </w:tc>
        <w:tc>
          <w:tcPr>
            <w:tcW w:w="3031" w:type="dxa"/>
            <w:tcBorders>
              <w:top w:val="single" w:sz="4" w:space="0" w:color="auto"/>
              <w:left w:val="single" w:sz="4" w:space="0" w:color="auto"/>
              <w:bottom w:val="single" w:sz="4" w:space="0" w:color="auto"/>
              <w:right w:val="single" w:sz="4" w:space="0" w:color="auto"/>
            </w:tcBorders>
            <w:shd w:val="clear" w:color="auto" w:fill="FFFFFF"/>
            <w:vAlign w:val="center"/>
          </w:tcPr>
          <w:p w:rsidR="00432BAA" w:rsidRPr="00382B54" w:rsidRDefault="00432BAA">
            <w:pPr>
              <w:rPr>
                <w:rFonts w:cs="Arial"/>
                <w:sz w:val="24"/>
                <w:szCs w:val="24"/>
                <w:lang w:val="en-US" w:eastAsia="en-US"/>
              </w:rPr>
            </w:pPr>
          </w:p>
        </w:tc>
        <w:tc>
          <w:tcPr>
            <w:tcW w:w="4353" w:type="dxa"/>
            <w:tcBorders>
              <w:top w:val="single" w:sz="4" w:space="0" w:color="auto"/>
              <w:left w:val="single" w:sz="4" w:space="0" w:color="auto"/>
              <w:bottom w:val="single" w:sz="4" w:space="0" w:color="auto"/>
              <w:right w:val="single" w:sz="4" w:space="0" w:color="auto"/>
            </w:tcBorders>
            <w:shd w:val="clear" w:color="auto" w:fill="FFFFFF"/>
            <w:vAlign w:val="center"/>
          </w:tcPr>
          <w:p w:rsidR="00432BAA" w:rsidRPr="00382B54" w:rsidRDefault="00432BAA">
            <w:pPr>
              <w:rPr>
                <w:rFonts w:cs="Arial"/>
                <w:sz w:val="24"/>
                <w:szCs w:val="24"/>
                <w:lang w:val="en-US" w:eastAsia="en-US"/>
              </w:rPr>
            </w:pPr>
          </w:p>
        </w:tc>
      </w:tr>
      <w:tr w:rsidR="00432BAA" w:rsidRPr="00382B54" w:rsidTr="00432BAA">
        <w:trPr>
          <w:trHeight w:val="454"/>
          <w:jc w:val="center"/>
        </w:trPr>
        <w:tc>
          <w:tcPr>
            <w:tcW w:w="3014" w:type="dxa"/>
            <w:tcBorders>
              <w:top w:val="single" w:sz="4" w:space="0" w:color="auto"/>
              <w:left w:val="single" w:sz="4" w:space="0" w:color="auto"/>
              <w:bottom w:val="single" w:sz="4" w:space="0" w:color="auto"/>
              <w:right w:val="single" w:sz="4" w:space="0" w:color="auto"/>
            </w:tcBorders>
            <w:shd w:val="clear" w:color="auto" w:fill="FFFFFF"/>
            <w:vAlign w:val="center"/>
          </w:tcPr>
          <w:p w:rsidR="00432BAA" w:rsidRPr="00382B54" w:rsidRDefault="00432BAA">
            <w:pPr>
              <w:rPr>
                <w:rFonts w:cs="Arial"/>
                <w:sz w:val="24"/>
                <w:szCs w:val="24"/>
                <w:lang w:val="en-US" w:eastAsia="en-US"/>
              </w:rPr>
            </w:pPr>
          </w:p>
        </w:tc>
        <w:tc>
          <w:tcPr>
            <w:tcW w:w="3031" w:type="dxa"/>
            <w:tcBorders>
              <w:top w:val="single" w:sz="4" w:space="0" w:color="auto"/>
              <w:left w:val="single" w:sz="4" w:space="0" w:color="auto"/>
              <w:bottom w:val="single" w:sz="4" w:space="0" w:color="auto"/>
              <w:right w:val="single" w:sz="4" w:space="0" w:color="auto"/>
            </w:tcBorders>
            <w:shd w:val="clear" w:color="auto" w:fill="FFFFFF"/>
            <w:vAlign w:val="center"/>
          </w:tcPr>
          <w:p w:rsidR="00432BAA" w:rsidRPr="00382B54" w:rsidRDefault="00432BAA">
            <w:pPr>
              <w:rPr>
                <w:rFonts w:cs="Arial"/>
                <w:sz w:val="24"/>
                <w:szCs w:val="24"/>
                <w:lang w:val="en-US" w:eastAsia="en-US"/>
              </w:rPr>
            </w:pPr>
          </w:p>
        </w:tc>
        <w:tc>
          <w:tcPr>
            <w:tcW w:w="4353" w:type="dxa"/>
            <w:tcBorders>
              <w:top w:val="single" w:sz="4" w:space="0" w:color="auto"/>
              <w:left w:val="single" w:sz="4" w:space="0" w:color="auto"/>
              <w:bottom w:val="single" w:sz="4" w:space="0" w:color="auto"/>
              <w:right w:val="single" w:sz="4" w:space="0" w:color="auto"/>
            </w:tcBorders>
            <w:shd w:val="clear" w:color="auto" w:fill="FFFFFF"/>
            <w:vAlign w:val="center"/>
          </w:tcPr>
          <w:p w:rsidR="00432BAA" w:rsidRPr="00382B54" w:rsidRDefault="00432BAA">
            <w:pPr>
              <w:rPr>
                <w:rFonts w:cs="Arial"/>
                <w:sz w:val="24"/>
                <w:szCs w:val="24"/>
                <w:lang w:val="en-US" w:eastAsia="en-US"/>
              </w:rPr>
            </w:pPr>
          </w:p>
        </w:tc>
      </w:tr>
    </w:tbl>
    <w:p w:rsidR="00432BAA" w:rsidRPr="00382B54" w:rsidRDefault="00432BAA" w:rsidP="00432BAA">
      <w:pPr>
        <w:rPr>
          <w:rFonts w:ascii="Arial" w:hAnsi="Arial"/>
          <w:sz w:val="24"/>
          <w:szCs w:val="24"/>
          <w:lang w:val="en-US" w:eastAsia="en-US"/>
        </w:rPr>
      </w:pPr>
    </w:p>
    <w:tbl>
      <w:tblPr>
        <w:tblW w:w="10402" w:type="dxa"/>
        <w:jc w:val="center"/>
        <w:tblInd w:w="-1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10402"/>
      </w:tblGrid>
      <w:tr w:rsidR="00432BAA" w:rsidRPr="00382B54" w:rsidTr="00432BAA">
        <w:trPr>
          <w:trHeight w:val="340"/>
          <w:jc w:val="center"/>
        </w:trPr>
        <w:tc>
          <w:tcPr>
            <w:tcW w:w="10402" w:type="dxa"/>
            <w:tcBorders>
              <w:top w:val="single" w:sz="4" w:space="0" w:color="auto"/>
              <w:left w:val="single" w:sz="4" w:space="0" w:color="auto"/>
              <w:bottom w:val="single" w:sz="4" w:space="0" w:color="auto"/>
              <w:right w:val="single" w:sz="4" w:space="0" w:color="auto"/>
            </w:tcBorders>
            <w:shd w:val="clear" w:color="auto" w:fill="FFFFFF"/>
            <w:vAlign w:val="center"/>
          </w:tcPr>
          <w:p w:rsidR="00432BAA" w:rsidRPr="00382B54" w:rsidRDefault="00432BAA">
            <w:pPr>
              <w:rPr>
                <w:rFonts w:cs="Arial"/>
                <w:b/>
                <w:color w:val="7030A0"/>
                <w:sz w:val="24"/>
                <w:szCs w:val="24"/>
              </w:rPr>
            </w:pPr>
            <w:r w:rsidRPr="00382B54">
              <w:rPr>
                <w:rFonts w:cs="Arial"/>
                <w:b/>
                <w:color w:val="7030A0"/>
                <w:sz w:val="24"/>
                <w:szCs w:val="24"/>
              </w:rPr>
              <w:t>Special requirements, access, dietary needs or any information relevant to the delegate</w:t>
            </w:r>
            <w:r w:rsidR="00382B54">
              <w:rPr>
                <w:rFonts w:cs="Arial"/>
                <w:b/>
                <w:color w:val="7030A0"/>
                <w:sz w:val="24"/>
                <w:szCs w:val="24"/>
              </w:rPr>
              <w:t>s comfort</w:t>
            </w:r>
            <w:bookmarkStart w:id="0" w:name="_GoBack"/>
            <w:bookmarkEnd w:id="0"/>
            <w:r w:rsidRPr="00382B54">
              <w:rPr>
                <w:rFonts w:cs="Arial"/>
                <w:b/>
                <w:color w:val="7030A0"/>
                <w:sz w:val="24"/>
                <w:szCs w:val="24"/>
              </w:rPr>
              <w:t>:</w:t>
            </w:r>
          </w:p>
          <w:p w:rsidR="00432BAA" w:rsidRPr="00382B54" w:rsidRDefault="00432BAA">
            <w:pPr>
              <w:rPr>
                <w:rFonts w:cs="Arial"/>
                <w:sz w:val="24"/>
                <w:szCs w:val="24"/>
              </w:rPr>
            </w:pPr>
          </w:p>
          <w:p w:rsidR="00432BAA" w:rsidRPr="00382B54" w:rsidRDefault="00432BAA">
            <w:pPr>
              <w:rPr>
                <w:rFonts w:cs="Arial"/>
                <w:sz w:val="24"/>
                <w:szCs w:val="24"/>
                <w:lang w:val="en-US" w:eastAsia="en-US"/>
              </w:rPr>
            </w:pPr>
          </w:p>
        </w:tc>
      </w:tr>
    </w:tbl>
    <w:p w:rsidR="00432BAA" w:rsidRDefault="00432BAA" w:rsidP="00432BAA">
      <w:pPr>
        <w:rPr>
          <w:rFonts w:ascii="Arial" w:hAnsi="Arial"/>
          <w:lang w:val="en-US" w:eastAsia="en-US"/>
        </w:rPr>
      </w:pPr>
    </w:p>
    <w:p w:rsidR="00432BAA" w:rsidRDefault="00432BAA" w:rsidP="00432BAA"/>
    <w:p w:rsidR="00432BAA" w:rsidRDefault="00432BAA" w:rsidP="00432BAA"/>
    <w:p w:rsidR="00432BAA" w:rsidRDefault="00432BAA" w:rsidP="00432BAA">
      <w:pPr>
        <w:ind w:left="-720"/>
        <w:jc w:val="center"/>
        <w:rPr>
          <w:b/>
          <w:sz w:val="28"/>
          <w:szCs w:val="28"/>
        </w:rPr>
      </w:pPr>
      <w:r>
        <w:rPr>
          <w:b/>
          <w:sz w:val="28"/>
          <w:szCs w:val="28"/>
        </w:rPr>
        <w:t>Please return to the events team via fax: 0191 5661001</w:t>
      </w:r>
    </w:p>
    <w:p w:rsidR="00432BAA" w:rsidRDefault="00432BAA" w:rsidP="00432BAA">
      <w:pPr>
        <w:ind w:left="-720"/>
        <w:jc w:val="center"/>
        <w:rPr>
          <w:sz w:val="20"/>
          <w:szCs w:val="20"/>
        </w:rPr>
      </w:pPr>
      <w:r>
        <w:rPr>
          <w:b/>
          <w:sz w:val="28"/>
          <w:szCs w:val="28"/>
        </w:rPr>
        <w:t xml:space="preserve">Or e-mail to: </w:t>
      </w:r>
      <w:hyperlink r:id="rId11" w:history="1">
        <w:r>
          <w:rPr>
            <w:rStyle w:val="Hyperlink"/>
            <w:b/>
            <w:sz w:val="28"/>
            <w:szCs w:val="28"/>
          </w:rPr>
          <w:t>events@northern-consortium.org.uk</w:t>
        </w:r>
      </w:hyperlink>
    </w:p>
    <w:p w:rsidR="00432BAA" w:rsidRDefault="00432BAA" w:rsidP="00432BAA">
      <w:pPr>
        <w:rPr>
          <w:sz w:val="24"/>
        </w:rPr>
      </w:pPr>
    </w:p>
    <w:p w:rsidR="00411F8B" w:rsidRDefault="00411F8B"/>
    <w:sectPr w:rsidR="00411F8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6F3E1E"/>
    <w:multiLevelType w:val="hybridMultilevel"/>
    <w:tmpl w:val="A49ED0B6"/>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nsid w:val="44CB52D4"/>
    <w:multiLevelType w:val="hybridMultilevel"/>
    <w:tmpl w:val="40A0973E"/>
    <w:lvl w:ilvl="0" w:tplc="08090001">
      <w:start w:val="1"/>
      <w:numFmt w:val="bullet"/>
      <w:lvlText w:val=""/>
      <w:lvlJc w:val="left"/>
      <w:pPr>
        <w:ind w:left="36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24E5"/>
    <w:rsid w:val="001424E5"/>
    <w:rsid w:val="00382B54"/>
    <w:rsid w:val="00411F8B"/>
    <w:rsid w:val="00432BAA"/>
    <w:rsid w:val="006D2B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24E5"/>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424E5"/>
    <w:rPr>
      <w:color w:val="0000FF"/>
      <w:u w:val="single"/>
    </w:rPr>
  </w:style>
  <w:style w:type="paragraph" w:styleId="NoSpacing">
    <w:name w:val="No Spacing"/>
    <w:basedOn w:val="Normal"/>
    <w:uiPriority w:val="1"/>
    <w:qFormat/>
    <w:rsid w:val="001424E5"/>
    <w:rPr>
      <w:rFonts w:ascii="Arial" w:hAnsi="Arial" w:cs="Arial"/>
      <w:sz w:val="24"/>
      <w:szCs w:val="24"/>
    </w:rPr>
  </w:style>
  <w:style w:type="paragraph" w:styleId="ListParagraph">
    <w:name w:val="List Paragraph"/>
    <w:basedOn w:val="Normal"/>
    <w:uiPriority w:val="34"/>
    <w:qFormat/>
    <w:rsid w:val="001424E5"/>
    <w:pPr>
      <w:spacing w:after="200" w:line="276" w:lineRule="auto"/>
      <w:ind w:left="720"/>
      <w:contextualSpacing/>
    </w:pPr>
    <w:rPr>
      <w:rFonts w:ascii="Arial" w:hAnsi="Arial" w:cs="Arial"/>
      <w:sz w:val="24"/>
      <w:szCs w:val="24"/>
    </w:rPr>
  </w:style>
  <w:style w:type="paragraph" w:styleId="BalloonText">
    <w:name w:val="Balloon Text"/>
    <w:basedOn w:val="Normal"/>
    <w:link w:val="BalloonTextChar"/>
    <w:uiPriority w:val="99"/>
    <w:semiHidden/>
    <w:unhideWhenUsed/>
    <w:rsid w:val="00432BAA"/>
    <w:rPr>
      <w:rFonts w:ascii="Tahoma" w:hAnsi="Tahoma" w:cs="Tahoma"/>
      <w:sz w:val="16"/>
      <w:szCs w:val="16"/>
    </w:rPr>
  </w:style>
  <w:style w:type="character" w:customStyle="1" w:styleId="BalloonTextChar">
    <w:name w:val="Balloon Text Char"/>
    <w:basedOn w:val="DefaultParagraphFont"/>
    <w:link w:val="BalloonText"/>
    <w:uiPriority w:val="99"/>
    <w:semiHidden/>
    <w:rsid w:val="00432BAA"/>
    <w:rPr>
      <w:rFonts w:ascii="Tahoma" w:hAnsi="Tahoma" w:cs="Tahoma"/>
      <w:sz w:val="16"/>
      <w:szCs w:val="16"/>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24E5"/>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424E5"/>
    <w:rPr>
      <w:color w:val="0000FF"/>
      <w:u w:val="single"/>
    </w:rPr>
  </w:style>
  <w:style w:type="paragraph" w:styleId="NoSpacing">
    <w:name w:val="No Spacing"/>
    <w:basedOn w:val="Normal"/>
    <w:uiPriority w:val="1"/>
    <w:qFormat/>
    <w:rsid w:val="001424E5"/>
    <w:rPr>
      <w:rFonts w:ascii="Arial" w:hAnsi="Arial" w:cs="Arial"/>
      <w:sz w:val="24"/>
      <w:szCs w:val="24"/>
    </w:rPr>
  </w:style>
  <w:style w:type="paragraph" w:styleId="ListParagraph">
    <w:name w:val="List Paragraph"/>
    <w:basedOn w:val="Normal"/>
    <w:uiPriority w:val="34"/>
    <w:qFormat/>
    <w:rsid w:val="001424E5"/>
    <w:pPr>
      <w:spacing w:after="200" w:line="276" w:lineRule="auto"/>
      <w:ind w:left="720"/>
      <w:contextualSpacing/>
    </w:pPr>
    <w:rPr>
      <w:rFonts w:ascii="Arial" w:hAnsi="Arial" w:cs="Arial"/>
      <w:sz w:val="24"/>
      <w:szCs w:val="24"/>
    </w:rPr>
  </w:style>
  <w:style w:type="paragraph" w:styleId="BalloonText">
    <w:name w:val="Balloon Text"/>
    <w:basedOn w:val="Normal"/>
    <w:link w:val="BalloonTextChar"/>
    <w:uiPriority w:val="99"/>
    <w:semiHidden/>
    <w:unhideWhenUsed/>
    <w:rsid w:val="00432BAA"/>
    <w:rPr>
      <w:rFonts w:ascii="Tahoma" w:hAnsi="Tahoma" w:cs="Tahoma"/>
      <w:sz w:val="16"/>
      <w:szCs w:val="16"/>
    </w:rPr>
  </w:style>
  <w:style w:type="character" w:customStyle="1" w:styleId="BalloonTextChar">
    <w:name w:val="Balloon Text Char"/>
    <w:basedOn w:val="DefaultParagraphFont"/>
    <w:link w:val="BalloonText"/>
    <w:uiPriority w:val="99"/>
    <w:semiHidden/>
    <w:rsid w:val="00432BAA"/>
    <w:rPr>
      <w:rFonts w:ascii="Tahoma"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392691">
      <w:bodyDiv w:val="1"/>
      <w:marLeft w:val="0"/>
      <w:marRight w:val="0"/>
      <w:marTop w:val="0"/>
      <w:marBottom w:val="0"/>
      <w:divBdr>
        <w:top w:val="none" w:sz="0" w:space="0" w:color="auto"/>
        <w:left w:val="none" w:sz="0" w:space="0" w:color="auto"/>
        <w:bottom w:val="none" w:sz="0" w:space="0" w:color="auto"/>
        <w:right w:val="none" w:sz="0" w:space="0" w:color="auto"/>
      </w:divBdr>
    </w:div>
    <w:div w:id="2108889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rthern-consortium.org.uk/Page/Events/1stannualtenantpanelconference.aspx"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mailto:events@northern-consortium.org.uk" TargetMode="External"/><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743</Words>
  <Characters>4236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daviesyvonne</dc:creator>
  <cp:lastModifiedBy>daviesyvonne</cp:lastModifiedBy>
  <cp:revision>4</cp:revision>
  <dcterms:created xsi:type="dcterms:W3CDTF">2011-10-05T12:09:00Z</dcterms:created>
  <dcterms:modified xsi:type="dcterms:W3CDTF">2011-10-05T12:12:00Z</dcterms:modified>
</cp:coreProperties>
</file>